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四平市铁西区应急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管理局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4"/>
          <w:szCs w:val="44"/>
        </w:rPr>
        <w:t>重大行政执法决定法制审核制度</w:t>
      </w:r>
    </w:p>
    <w:bookmarkEnd w:id="0"/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第一条</w:t>
      </w:r>
      <w:r>
        <w:rPr>
          <w:rFonts w:hint="eastAsia" w:ascii="仿宋" w:hAnsi="仿宋" w:eastAsia="仿宋" w:cs="仿宋"/>
          <w:sz w:val="32"/>
          <w:szCs w:val="32"/>
        </w:rPr>
        <w:t xml:space="preserve">  为加强行政执法规范化建设，保障应急管理部门作出的重大行政执法决定（以下统称“重大执法决定”）合法有效，切实保障行政相对人的合法权益，按照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国家</w:t>
      </w:r>
      <w:r>
        <w:rPr>
          <w:rFonts w:hint="eastAsia" w:ascii="仿宋" w:hAnsi="仿宋" w:eastAsia="仿宋" w:cs="仿宋"/>
          <w:sz w:val="32"/>
          <w:szCs w:val="32"/>
        </w:rPr>
        <w:t>应急管理部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省委、省政府、市委、市政府和区委、区政府</w:t>
      </w:r>
      <w:r>
        <w:rPr>
          <w:rFonts w:hint="eastAsia" w:ascii="仿宋" w:hAnsi="仿宋" w:eastAsia="仿宋" w:cs="仿宋"/>
          <w:sz w:val="32"/>
          <w:szCs w:val="32"/>
        </w:rPr>
        <w:t>的有关要求，根据《中华人民共和国安全生产法》《中华人民共和国行政处罚法》《中华人民共和国行政强制法》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《吉林省行政处罚监督办法》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吉林</w:t>
      </w:r>
      <w:r>
        <w:rPr>
          <w:rFonts w:hint="eastAsia" w:ascii="仿宋" w:hAnsi="仿宋" w:eastAsia="仿宋" w:cs="仿宋"/>
          <w:sz w:val="32"/>
          <w:szCs w:val="32"/>
        </w:rPr>
        <w:t>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四平市及省应急管理厅制定的《全面推行行政执法公示制度执法全过程记录制度</w:t>
      </w:r>
      <w:r>
        <w:rPr>
          <w:rFonts w:hint="eastAsia" w:ascii="仿宋" w:hAnsi="仿宋" w:eastAsia="仿宋" w:cs="仿宋"/>
          <w:sz w:val="32"/>
          <w:szCs w:val="32"/>
        </w:rPr>
        <w:t>重大行政执法决定法制审核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制度</w:t>
      </w:r>
      <w:r>
        <w:rPr>
          <w:rFonts w:hint="eastAsia" w:ascii="仿宋" w:hAnsi="仿宋" w:eastAsia="仿宋" w:cs="仿宋"/>
          <w:sz w:val="32"/>
          <w:szCs w:val="32"/>
        </w:rPr>
        <w:t>》规定，按照“谁处罚谁负责、谁检查谁负责”的原则，结合我局实际，制定本制度。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第二条</w:t>
      </w:r>
      <w:r>
        <w:rPr>
          <w:rFonts w:hint="eastAsia" w:ascii="仿宋" w:hAnsi="仿宋" w:eastAsia="仿宋" w:cs="仿宋"/>
          <w:sz w:val="32"/>
          <w:szCs w:val="32"/>
        </w:rPr>
        <w:t xml:space="preserve">  本制度所称重大执法决定法制审核，是指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区应急管理部门</w:t>
      </w:r>
      <w:r>
        <w:rPr>
          <w:rFonts w:hint="eastAsia" w:ascii="仿宋" w:hAnsi="仿宋" w:eastAsia="仿宋" w:cs="仿宋"/>
          <w:sz w:val="32"/>
          <w:szCs w:val="32"/>
        </w:rPr>
        <w:t>在行政许可、行政处罚、行政强制等执法活动中，依法作出重大执法决定之前，由承担法制工作职责的内设机构对有关重大执法决定的合法性、适当性进行审核的行为。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第三条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法制审核的范围包括：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　（一）行政许可类：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1、</w:t>
      </w:r>
      <w:r>
        <w:rPr>
          <w:rFonts w:hint="eastAsia" w:ascii="仿宋_GB2312" w:eastAsia="仿宋_GB2312"/>
          <w:color w:val="000000"/>
          <w:sz w:val="32"/>
          <w:szCs w:val="32"/>
        </w:rPr>
        <w:t>涉及重大公共利益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可能造成重大社会影响或引发社会风险的行政许可的；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hint="eastAsia" w:ascii="仿宋_GB2312" w:hAnsi="Verdana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2、</w:t>
      </w:r>
      <w:r>
        <w:rPr>
          <w:rFonts w:hint="eastAsia" w:ascii="仿宋_GB2312" w:hAnsi="Verdana" w:eastAsia="仿宋_GB2312"/>
          <w:color w:val="000000"/>
          <w:sz w:val="32"/>
          <w:szCs w:val="32"/>
          <w:shd w:val="clear" w:color="auto" w:fill="FFFFFF"/>
        </w:rPr>
        <w:t>撤销行政许可的；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Verdana" w:eastAsia="仿宋_GB2312"/>
          <w:color w:val="000000"/>
          <w:sz w:val="32"/>
          <w:szCs w:val="32"/>
          <w:shd w:val="clear" w:color="auto" w:fill="FFFFFF"/>
        </w:rPr>
        <w:t>3、</w:t>
      </w:r>
      <w:r>
        <w:rPr>
          <w:rFonts w:hint="eastAsia" w:ascii="仿宋_GB2312" w:eastAsia="仿宋_GB2312"/>
          <w:color w:val="000000"/>
          <w:sz w:val="32"/>
          <w:szCs w:val="32"/>
        </w:rPr>
        <w:t>经过听证程序作出行政许可决定的；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4、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许可情况疑难复杂、涉及多个法律关系的</w:t>
      </w:r>
      <w:r>
        <w:rPr>
          <w:rFonts w:hint="eastAsia" w:ascii="仿宋_GB2312" w:eastAsia="仿宋_GB2312"/>
          <w:color w:val="000000"/>
          <w:sz w:val="32"/>
          <w:szCs w:val="32"/>
        </w:rPr>
        <w:t>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  5、法律、法规、规章规定和国家明确要求应当进行法制审核的其他情形。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　（二）行政处罚类：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　1、责令停产停业的；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2、吊销有关许可证的；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3、</w:t>
      </w:r>
      <w:r>
        <w:rPr>
          <w:rFonts w:hint="eastAsia" w:ascii="仿宋_GB2312" w:eastAsia="仿宋_GB2312"/>
          <w:color w:val="000000"/>
          <w:sz w:val="32"/>
          <w:szCs w:val="32"/>
        </w:rPr>
        <w:t>经过听证程序作出行政执法决定的；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　4、对单位处以5万元以上罚款，没收违法所得或者没收非法财物价值5万元以上的；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　5、提请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政府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实施关闭的；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　6、</w:t>
      </w:r>
      <w:r>
        <w:rPr>
          <w:rFonts w:hint="eastAsia" w:ascii="仿宋_GB2312" w:eastAsia="仿宋_GB2312"/>
          <w:color w:val="000000"/>
          <w:sz w:val="32"/>
          <w:szCs w:val="32"/>
        </w:rPr>
        <w:t>涉及重大公共利益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可能造成重大社会影响或引发社会风险的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　7、案件情况疑难复杂、涉及多个法律关系的；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　8、法律、法规、规章规定和国家明确要求应当进行法制审核的其他情形。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　　（三）行政强制类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通知有关部门、单位强制停止供电，停止供应民用爆炸物品的；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hint="eastAsia" w:ascii="仿宋_GB2312" w:hAnsi="Verdana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2、</w:t>
      </w:r>
      <w:r>
        <w:rPr>
          <w:rFonts w:hint="eastAsia" w:ascii="仿宋_GB2312" w:hAnsi="Verdana" w:eastAsia="仿宋_GB2312"/>
          <w:color w:val="000000"/>
          <w:sz w:val="32"/>
          <w:szCs w:val="32"/>
          <w:shd w:val="clear" w:color="auto" w:fill="FFFFFF"/>
        </w:rPr>
        <w:t>对违法生产、储存、使用、经营危险物品的作业场所予以查封的；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3、</w:t>
      </w:r>
      <w:r>
        <w:rPr>
          <w:rFonts w:hint="eastAsia" w:ascii="仿宋_GB2312" w:eastAsia="仿宋_GB2312"/>
          <w:color w:val="000000"/>
          <w:sz w:val="32"/>
          <w:szCs w:val="32"/>
        </w:rPr>
        <w:t>涉及重大公共利益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可能造成重大社会影响或引发社会风险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4、案件情况疑难复杂、涉及多个法律关系的；</w:t>
      </w:r>
    </w:p>
    <w:p>
      <w:pPr>
        <w:pStyle w:val="2"/>
        <w:widowControl/>
        <w:snapToGrid w:val="0"/>
        <w:spacing w:before="0" w:beforeAutospacing="0" w:after="0" w:afterAutospacing="0" w:line="560" w:lineRule="atLeast"/>
        <w:ind w:firstLine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5、法律、法规、规章规定和国家明确要求应当进行法制审核的其他情形。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第四条</w:t>
      </w:r>
      <w:r>
        <w:rPr>
          <w:rFonts w:hint="eastAsia" w:ascii="仿宋" w:hAnsi="仿宋" w:eastAsia="仿宋" w:cs="仿宋"/>
          <w:sz w:val="32"/>
          <w:szCs w:val="32"/>
        </w:rPr>
        <w:t xml:space="preserve">  根据法律、法规和规章修改或行政执法监督需要，本制度所规定的重大执法决定的类别和范围应当及时进行调整。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第五条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本制度第三条所列重大执法决定事项，承办科室应当在拟作出执法决定前先行初审，并按本制度规定提交法制审核职能科室进行法制审核。法制审核职能科室对重大执法决定事项进行法制审核时，应当集体研究，提出书面审核意见，报分管法制审核职能科室的分管负责人签批同意后反馈承办科室。承办科室应当落实法制审核意见，将重大执法决定事项报请局领导班子集体讨论作出决定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 法制审核按照下列程序进行：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（一）承办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提交办理材料；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（二）法制审核职能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负责人指定审核人员；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（三）审核人员对办理材料进行审查并形成审核意见；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（四）法制审核职能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负责人复核并在审核意见上面签字；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（五）审核人员返回办理材料并出具审核意见。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 承办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在送审时应当提交下列材料：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（一）拟作出的重大执法决定的情况说明及意见；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（二）相关的证据材料；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（三）经过听证的，应当提交听证笔录；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（四）经过评估、鉴定的，应当提交评估、鉴定报告；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（五）需要提交的其他材料。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前款第一项所指的情况说明包括：基本事实；适用法律、法规、规章的情况；适用行政裁量权的情况；执法人员资格情况；证据情况；听证、评估、鉴定的情况；承办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意见；其他需要说明的情况。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所提交材料不齐全或者不符合要求的，由承办机构在指定时间内补交。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 重大执法决定事项法制审核主要内容包括：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（一）执法主体是否合法，执法人员是否具备执法资格；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（二）当事人的基本情况是否清楚；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（三）违法事实是否清楚，证据是否确凿、充分，材料是否齐全；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（四）适用法律、法规和规章是否准确；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（五）程序是否合法；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（六）执法裁量基准适用是否适当；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（七）是否有超越本机关职权范围或者滥用职权的情形；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（八）执法文书是否完备、规范；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（九）拟作出的执法决定是否适当；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（十）其他依法应当审核的内容。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 因法律、法规和规章修改或局行政执法监督需要，本制度所规定的重大行政执法决定的类别和范围可以适时调整补充。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第十条</w:t>
      </w:r>
      <w:r>
        <w:rPr>
          <w:rFonts w:hint="eastAsia" w:ascii="仿宋" w:hAnsi="仿宋" w:eastAsia="仿宋" w:cs="仿宋"/>
          <w:sz w:val="32"/>
          <w:szCs w:val="32"/>
        </w:rPr>
        <w:t xml:space="preserve">  法制审核原则上以书面审核为主，必要时可以向执法人员及行政相对人进行了解、调查，相关单位和个人应当予以协助配合。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 法制审核人员收到重大行政执法决定送审材料后，除另有规定外，应在3个工作日内审核完毕；案件复杂的，经局主管法制工作的领导批准可以延长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个工作日。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条 </w:t>
      </w:r>
      <w:r>
        <w:rPr>
          <w:rFonts w:hint="eastAsia" w:ascii="仿宋" w:hAnsi="仿宋" w:eastAsia="仿宋" w:cs="仿宋"/>
          <w:sz w:val="32"/>
          <w:szCs w:val="32"/>
        </w:rPr>
        <w:t xml:space="preserve"> 法制审核职能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完成审核后，应当根据不同情形，提出书面审核意见。承办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应当对法制审核意见进行研究，作出相应处理后再次报送进行法制审核。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（一）事实清楚、证据确凿、适用依据正确、程序合法、内容和裁量适当、定性准确的，提出同意的意见；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（二）违法行为不成立的，提出不予行政执法决定的建议；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  （三）主要事实不清、证据不足的，建议退回，补充调查；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（四）违反法定程序的，提出纠正意见；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（五）撤销行政许可不能成立的，提出不同意的意见并说明理由；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（六）超越或者滥用职权的，提出移送意见；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（七）定性不准、适用依据错误和裁量基准明显不当的，提出变更或修正意见。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 法制审核职能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完成审核后，应当向承办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出具重大执法决定法制审核意见。承办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对法制审核意见有异议的可以申请复核一次，复核仍有异议的报送部门主要负责人审定。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 重大执法决定事项未经法制审核或者审核未通过的，不得作出决定。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</w:rPr>
        <w:t xml:space="preserve">  未按照本制度规定向法制审核职能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报送重大执法决定事项的，由承办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承担责任。法制审核职能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sz w:val="32"/>
          <w:szCs w:val="32"/>
        </w:rPr>
        <w:t>对重大执法决定的法制审核意见负责。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第十六条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承办科室的承办人员、法制审核的审核人员和审批重大执法决定的负责人滥用职权、玩忽职守、徇私枉法而导致执法决定错误的，应当依纪依法追究相关人员责任。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第十七条</w:t>
      </w:r>
      <w:r>
        <w:rPr>
          <w:rFonts w:hint="eastAsia" w:ascii="仿宋" w:hAnsi="仿宋" w:eastAsia="仿宋" w:cs="仿宋"/>
          <w:sz w:val="32"/>
          <w:szCs w:val="32"/>
        </w:rPr>
        <w:t xml:space="preserve">  本制度自印发之日起施行。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05E52"/>
    <w:rsid w:val="5100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2020-01-19T02:35:00Z</dcterms:created>
  <dc:creator>灰狼</dc:creator>
  <cp:lastModifiedBy>灰狼</cp:lastModifiedBy>
  <dcterms:modified xsi:type="dcterms:W3CDTF">2020-01-19T07:47:55Z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