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0" w:firstLineChars="0"/>
        <w:jc w:val="center"/>
        <w:textAlignment w:val="auto"/>
        <w:outlineLvl w:val="9"/>
        <w:rPr>
          <w:rStyle w:val="25"/>
          <w:rFonts w:hint="eastAsia" w:ascii="宋体" w:hAnsi="宋体" w:eastAsia="宋体" w:cs="宋体"/>
          <w:i w:val="0"/>
          <w:iCs w:val="0"/>
          <w:caps w:val="0"/>
          <w:color w:val="60636D"/>
          <w:spacing w:val="0"/>
          <w:sz w:val="24"/>
          <w:szCs w:val="24"/>
          <w:u w:val="none"/>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关于铁西区</w:t>
      </w:r>
      <w:r>
        <w:rPr>
          <w:rFonts w:hint="eastAsia" w:ascii="方正小标宋简体" w:hAnsi="方正小标宋简体" w:eastAsia="方正小标宋简体" w:cs="方正小标宋简体"/>
          <w:color w:val="auto"/>
          <w:sz w:val="44"/>
          <w:szCs w:val="44"/>
        </w:rPr>
        <w:t>加强新时代老龄工作的实施方案</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jc w:val="center"/>
        <w:textAlignment w:val="auto"/>
        <w:outlineLvl w:val="9"/>
        <w:rPr>
          <w:rStyle w:val="25"/>
          <w:rFonts w:hint="eastAsia" w:ascii="宋体" w:hAnsi="宋体" w:eastAsia="宋体" w:cs="宋体"/>
          <w:i w:val="0"/>
          <w:iCs w:val="0"/>
          <w:caps w:val="0"/>
          <w:color w:val="60636D"/>
          <w:spacing w:val="0"/>
          <w:sz w:val="24"/>
          <w:szCs w:val="24"/>
          <w:u w:val="none"/>
        </w:rPr>
      </w:pPr>
      <w:r>
        <w:rPr>
          <w:rStyle w:val="25"/>
          <w:rFonts w:hint="eastAsia" w:ascii="宋体" w:hAnsi="宋体" w:eastAsia="宋体" w:cs="宋体"/>
          <w:i w:val="0"/>
          <w:iCs w:val="0"/>
          <w:caps w:val="0"/>
          <w:color w:val="60636D"/>
          <w:spacing w:val="0"/>
          <w:sz w:val="24"/>
          <w:szCs w:val="24"/>
          <w:u w:val="none"/>
        </w:rPr>
        <w:t>（征求意见稿）</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为贯彻落实积极应对人口老龄化国家战略，</w:t>
      </w:r>
      <w:r>
        <w:rPr>
          <w:rFonts w:hint="eastAsia" w:ascii="仿宋_GB2312" w:hAnsi="仿宋_GB2312" w:eastAsia="仿宋_GB2312" w:cs="仿宋_GB2312"/>
          <w:sz w:val="32"/>
          <w:szCs w:val="32"/>
        </w:rPr>
        <w:t>不断推动全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老龄事业与经济社会协调发展，</w:t>
      </w:r>
      <w:r>
        <w:rPr>
          <w:rFonts w:hint="eastAsia" w:ascii="仿宋_GB2312" w:hAnsi="仿宋_GB2312" w:eastAsia="仿宋_GB2312" w:cs="仿宋_GB2312"/>
          <w:color w:val="auto"/>
          <w:kern w:val="21"/>
          <w:sz w:val="32"/>
          <w:szCs w:val="32"/>
        </w:rPr>
        <w:t>切实加强新时代老龄工作，根据</w:t>
      </w:r>
      <w:r>
        <w:rPr>
          <w:rFonts w:hint="eastAsia" w:ascii="仿宋_GB2312" w:hAnsi="仿宋_GB2312" w:eastAsia="仿宋_GB2312" w:cs="仿宋_GB2312"/>
          <w:color w:val="auto"/>
          <w:kern w:val="21"/>
          <w:sz w:val="32"/>
          <w:szCs w:val="32"/>
          <w:lang w:eastAsia="zh-CN"/>
        </w:rPr>
        <w:t>《中共中央、国务院</w:t>
      </w:r>
      <w:r>
        <w:rPr>
          <w:rFonts w:hint="eastAsia" w:ascii="仿宋_GB2312" w:hAnsi="仿宋_GB2312" w:eastAsia="仿宋_GB2312" w:cs="仿宋_GB2312"/>
          <w:color w:val="auto"/>
          <w:kern w:val="21"/>
          <w:sz w:val="32"/>
          <w:szCs w:val="32"/>
        </w:rPr>
        <w:t>关于加强新时代老龄工作的意见</w:t>
      </w:r>
      <w:r>
        <w:rPr>
          <w:rFonts w:hint="eastAsia" w:ascii="仿宋_GB2312" w:hAnsi="仿宋_GB2312" w:eastAsia="仿宋_GB2312" w:cs="仿宋_GB2312"/>
          <w:color w:val="auto"/>
          <w:kern w:val="21"/>
          <w:sz w:val="32"/>
          <w:szCs w:val="32"/>
          <w:lang w:eastAsia="zh-CN"/>
        </w:rPr>
        <w:t>》（中</w:t>
      </w:r>
      <w:r>
        <w:rPr>
          <w:rFonts w:hint="eastAsia" w:ascii="仿宋_GB2312" w:hAnsi="仿宋_GB2312" w:eastAsia="仿宋_GB2312" w:cs="仿宋_GB2312"/>
          <w:color w:val="auto"/>
          <w:kern w:val="21"/>
          <w:sz w:val="32"/>
          <w:szCs w:val="32"/>
        </w:rPr>
        <w:t>发〔</w:t>
      </w:r>
      <w:r>
        <w:rPr>
          <w:rFonts w:hint="eastAsia" w:ascii="仿宋_GB2312" w:hAnsi="仿宋_GB2312" w:eastAsia="仿宋_GB2312" w:cs="仿宋_GB2312"/>
          <w:spacing w:val="0"/>
          <w:sz w:val="32"/>
          <w:szCs w:val="32"/>
          <w:lang w:val="en-US" w:eastAsia="zh-CN"/>
        </w:rPr>
        <w:t>2021</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spacing w:val="0"/>
          <w:sz w:val="32"/>
          <w:szCs w:val="32"/>
          <w:lang w:val="en-US" w:eastAsia="zh-CN"/>
        </w:rPr>
        <w:t>42</w:t>
      </w:r>
      <w:r>
        <w:rPr>
          <w:rFonts w:hint="eastAsia" w:ascii="仿宋_GB2312" w:hAnsi="仿宋_GB2312" w:eastAsia="仿宋_GB2312" w:cs="仿宋_GB2312"/>
          <w:color w:val="auto"/>
          <w:kern w:val="21"/>
          <w:sz w:val="32"/>
          <w:szCs w:val="32"/>
        </w:rPr>
        <w:t>号</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《中共</w:t>
      </w:r>
      <w:r>
        <w:rPr>
          <w:rFonts w:hint="eastAsia" w:ascii="仿宋_GB2312" w:hAnsi="仿宋_GB2312" w:eastAsia="仿宋_GB2312" w:cs="仿宋_GB2312"/>
          <w:color w:val="auto"/>
          <w:kern w:val="21"/>
          <w:sz w:val="32"/>
          <w:szCs w:val="32"/>
          <w:lang w:eastAsia="zh-CN"/>
        </w:rPr>
        <w:t>吉林省委</w:t>
      </w:r>
      <w:r>
        <w:rPr>
          <w:rFonts w:hint="eastAsia" w:ascii="仿宋_GB2312" w:hAnsi="仿宋_GB2312" w:eastAsia="仿宋_GB2312" w:cs="仿宋_GB2312"/>
          <w:color w:val="auto"/>
          <w:kern w:val="21"/>
          <w:sz w:val="32"/>
          <w:szCs w:val="32"/>
          <w:lang w:val="en-US" w:eastAsia="zh-CN"/>
        </w:rPr>
        <w:t>、</w:t>
      </w:r>
      <w:r>
        <w:rPr>
          <w:rFonts w:hint="eastAsia" w:ascii="仿宋_GB2312" w:hAnsi="仿宋_GB2312" w:eastAsia="仿宋_GB2312" w:cs="仿宋_GB2312"/>
          <w:color w:val="auto"/>
          <w:kern w:val="21"/>
          <w:sz w:val="32"/>
          <w:szCs w:val="32"/>
          <w:lang w:eastAsia="zh-CN"/>
        </w:rPr>
        <w:t>吉林省人民政府</w:t>
      </w:r>
      <w:r>
        <w:rPr>
          <w:rFonts w:hint="eastAsia" w:ascii="仿宋_GB2312" w:hAnsi="仿宋_GB2312" w:eastAsia="仿宋_GB2312" w:cs="仿宋_GB2312"/>
          <w:color w:val="auto"/>
          <w:kern w:val="21"/>
          <w:sz w:val="32"/>
          <w:szCs w:val="32"/>
        </w:rPr>
        <w:t>关于加强新时代老龄工作的</w:t>
      </w:r>
      <w:r>
        <w:rPr>
          <w:rFonts w:hint="eastAsia" w:ascii="仿宋_GB2312" w:hAnsi="仿宋_GB2312" w:eastAsia="仿宋_GB2312" w:cs="仿宋_GB2312"/>
          <w:color w:val="auto"/>
          <w:kern w:val="21"/>
          <w:sz w:val="32"/>
          <w:szCs w:val="32"/>
          <w:lang w:eastAsia="zh-CN"/>
        </w:rPr>
        <w:t>实施</w:t>
      </w:r>
      <w:r>
        <w:rPr>
          <w:rFonts w:hint="eastAsia" w:ascii="仿宋_GB2312" w:hAnsi="仿宋_GB2312" w:eastAsia="仿宋_GB2312" w:cs="仿宋_GB2312"/>
          <w:color w:val="auto"/>
          <w:kern w:val="21"/>
          <w:sz w:val="32"/>
          <w:szCs w:val="32"/>
        </w:rPr>
        <w:t>意见》（</w:t>
      </w:r>
      <w:r>
        <w:rPr>
          <w:rFonts w:hint="eastAsia" w:ascii="仿宋_GB2312" w:hAnsi="仿宋_GB2312" w:eastAsia="仿宋_GB2312" w:cs="仿宋_GB2312"/>
          <w:color w:val="auto"/>
          <w:kern w:val="21"/>
          <w:sz w:val="32"/>
          <w:szCs w:val="32"/>
          <w:lang w:eastAsia="zh-CN"/>
        </w:rPr>
        <w:t>吉</w:t>
      </w:r>
      <w:r>
        <w:rPr>
          <w:rFonts w:hint="eastAsia" w:ascii="仿宋_GB2312" w:hAnsi="仿宋_GB2312" w:eastAsia="仿宋_GB2312" w:cs="仿宋_GB2312"/>
          <w:color w:val="auto"/>
          <w:kern w:val="21"/>
          <w:sz w:val="32"/>
          <w:szCs w:val="32"/>
        </w:rPr>
        <w:t>发〔</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color w:val="auto"/>
          <w:kern w:val="21"/>
          <w:sz w:val="32"/>
          <w:szCs w:val="32"/>
        </w:rPr>
        <w:t>号）</w:t>
      </w:r>
      <w:r>
        <w:rPr>
          <w:rFonts w:hint="eastAsia" w:ascii="仿宋_GB2312" w:hAnsi="仿宋_GB2312" w:eastAsia="仿宋_GB2312" w:cs="仿宋_GB2312"/>
          <w:color w:val="auto"/>
          <w:kern w:val="21"/>
          <w:sz w:val="32"/>
          <w:szCs w:val="32"/>
          <w:lang w:eastAsia="zh-CN"/>
        </w:rPr>
        <w:t>、《中共四平市委、四平市人民政府印发关于加强新时代老龄工作的实施方案》（四发</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spacing w:val="0"/>
          <w:sz w:val="32"/>
          <w:szCs w:val="32"/>
          <w:lang w:val="en-US" w:eastAsia="zh-CN"/>
        </w:rPr>
        <w:t>2022</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spacing w:val="0"/>
          <w:sz w:val="32"/>
          <w:szCs w:val="32"/>
          <w:lang w:val="en-US" w:eastAsia="zh-CN"/>
        </w:rPr>
        <w:t>12号）</w:t>
      </w:r>
      <w:r>
        <w:rPr>
          <w:rFonts w:hint="eastAsia" w:ascii="仿宋_GB2312" w:hAnsi="仿宋_GB2312" w:eastAsia="仿宋_GB2312" w:cs="仿宋_GB2312"/>
          <w:color w:val="auto"/>
          <w:kern w:val="21"/>
          <w:sz w:val="32"/>
          <w:szCs w:val="32"/>
        </w:rPr>
        <w:t>精神，结合我</w:t>
      </w:r>
      <w:r>
        <w:rPr>
          <w:rFonts w:hint="eastAsia" w:ascii="仿宋_GB2312" w:hAnsi="仿宋_GB2312" w:eastAsia="仿宋_GB2312" w:cs="仿宋_GB2312"/>
          <w:color w:val="auto"/>
          <w:kern w:val="21"/>
          <w:sz w:val="32"/>
          <w:szCs w:val="32"/>
          <w:lang w:eastAsia="zh-CN"/>
        </w:rPr>
        <w:t>区</w:t>
      </w:r>
      <w:r>
        <w:rPr>
          <w:rFonts w:hint="eastAsia" w:ascii="仿宋_GB2312" w:hAnsi="仿宋_GB2312" w:eastAsia="仿宋_GB2312" w:cs="仿宋_GB2312"/>
          <w:color w:val="auto"/>
          <w:kern w:val="21"/>
          <w:sz w:val="32"/>
          <w:szCs w:val="32"/>
        </w:rPr>
        <w:t>实际，现</w:t>
      </w:r>
      <w:r>
        <w:rPr>
          <w:rFonts w:hint="eastAsia" w:ascii="仿宋_GB2312" w:hAnsi="仿宋_GB2312" w:eastAsia="仿宋_GB2312" w:cs="仿宋_GB2312"/>
          <w:color w:val="auto"/>
          <w:kern w:val="21"/>
          <w:sz w:val="32"/>
          <w:szCs w:val="32"/>
          <w:lang w:eastAsia="zh-CN"/>
        </w:rPr>
        <w:t>制定如</w:t>
      </w:r>
      <w:r>
        <w:rPr>
          <w:rFonts w:hint="eastAsia" w:ascii="仿宋_GB2312" w:hAnsi="仿宋_GB2312" w:eastAsia="仿宋_GB2312" w:cs="仿宋_GB2312"/>
          <w:color w:val="auto"/>
          <w:kern w:val="21"/>
          <w:sz w:val="32"/>
          <w:szCs w:val="32"/>
        </w:rPr>
        <w:t>下实施</w:t>
      </w:r>
      <w:r>
        <w:rPr>
          <w:rFonts w:hint="eastAsia" w:ascii="仿宋_GB2312" w:hAnsi="仿宋_GB2312" w:eastAsia="仿宋_GB2312" w:cs="仿宋_GB2312"/>
          <w:color w:val="auto"/>
          <w:kern w:val="21"/>
          <w:sz w:val="32"/>
          <w:szCs w:val="32"/>
          <w:lang w:eastAsia="zh-CN"/>
        </w:rPr>
        <w:t>方案</w:t>
      </w:r>
      <w:r>
        <w:rPr>
          <w:rFonts w:hint="eastAsia" w:ascii="仿宋_GB2312" w:hAnsi="仿宋_GB2312" w:eastAsia="仿宋_GB2312" w:cs="仿宋_GB2312"/>
          <w:color w:val="auto"/>
          <w:kern w:val="21"/>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一、完善养老保障体系</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b w:val="0"/>
          <w:bCs w:val="0"/>
          <w:color w:val="auto"/>
          <w:kern w:val="21"/>
          <w:sz w:val="32"/>
          <w:szCs w:val="32"/>
        </w:rPr>
      </w:pPr>
      <w:r>
        <w:rPr>
          <w:rFonts w:hint="eastAsia" w:ascii="楷体_GB2312" w:hAnsi="楷体_GB2312" w:eastAsia="楷体_GB2312" w:cs="楷体_GB2312"/>
          <w:color w:val="auto"/>
          <w:kern w:val="21"/>
          <w:sz w:val="32"/>
          <w:szCs w:val="32"/>
          <w:lang w:val="en-US" w:eastAsia="zh-CN"/>
        </w:rPr>
        <w:t>(一）</w:t>
      </w:r>
      <w:r>
        <w:rPr>
          <w:rFonts w:hint="eastAsia" w:ascii="楷体_GB2312" w:hAnsi="楷体_GB2312" w:eastAsia="楷体_GB2312" w:cs="楷体_GB2312"/>
          <w:color w:val="auto"/>
          <w:kern w:val="21"/>
          <w:sz w:val="32"/>
          <w:szCs w:val="32"/>
          <w:lang w:eastAsia="zh-CN"/>
        </w:rPr>
        <w:t>提升</w:t>
      </w:r>
      <w:r>
        <w:rPr>
          <w:rFonts w:hint="eastAsia" w:ascii="楷体_GB2312" w:hAnsi="楷体_GB2312" w:eastAsia="楷体_GB2312" w:cs="楷体_GB2312"/>
          <w:color w:val="auto"/>
          <w:kern w:val="21"/>
          <w:sz w:val="32"/>
          <w:szCs w:val="32"/>
        </w:rPr>
        <w:t>养老保障</w:t>
      </w:r>
      <w:r>
        <w:rPr>
          <w:rFonts w:hint="eastAsia" w:ascii="楷体_GB2312" w:hAnsi="楷体_GB2312" w:eastAsia="楷体_GB2312" w:cs="楷体_GB2312"/>
          <w:color w:val="auto"/>
          <w:kern w:val="21"/>
          <w:sz w:val="32"/>
          <w:szCs w:val="32"/>
          <w:lang w:eastAsia="zh-CN"/>
        </w:rPr>
        <w:t>和救助水平</w:t>
      </w:r>
      <w:r>
        <w:rPr>
          <w:rFonts w:hint="eastAsia" w:ascii="楷体_GB2312" w:hAnsi="楷体_GB2312" w:eastAsia="楷体_GB2312" w:cs="楷体_GB2312"/>
          <w:color w:val="auto"/>
          <w:kern w:val="21"/>
          <w:sz w:val="32"/>
          <w:szCs w:val="32"/>
        </w:rPr>
        <w:t>。</w:t>
      </w:r>
      <w:r>
        <w:rPr>
          <w:rFonts w:hint="eastAsia" w:ascii="仿宋_GB2312" w:hAnsi="仿宋_GB2312" w:eastAsia="仿宋_GB2312" w:cs="仿宋_GB2312"/>
          <w:color w:val="auto"/>
          <w:kern w:val="21"/>
          <w:sz w:val="32"/>
          <w:szCs w:val="32"/>
        </w:rPr>
        <w:t>扩大养老保险覆盖面，逐步实现基本养老保险法定人员全覆盖</w:t>
      </w:r>
      <w:r>
        <w:rPr>
          <w:rFonts w:hint="eastAsia" w:ascii="仿宋_GB2312" w:hAnsi="仿宋_GB2312" w:eastAsia="仿宋_GB2312" w:cs="仿宋_GB2312"/>
          <w:b w:val="0"/>
          <w:bCs w:val="0"/>
          <w:color w:val="auto"/>
          <w:kern w:val="21"/>
          <w:sz w:val="32"/>
          <w:szCs w:val="32"/>
        </w:rPr>
        <w:t>。</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人社局</w:t>
      </w:r>
      <w:r>
        <w:rPr>
          <w:rFonts w:hint="eastAsia" w:ascii="黑体" w:hAnsi="黑体" w:eastAsia="黑体" w:cs="黑体"/>
          <w:b w:val="0"/>
          <w:bCs w:val="0"/>
          <w:color w:val="auto"/>
          <w:kern w:val="21"/>
          <w:sz w:val="32"/>
          <w:szCs w:val="32"/>
          <w:lang w:eastAsia="zh-CN"/>
        </w:rPr>
        <w:t>协调市级相关部门</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lang w:eastAsia="zh-CN"/>
        </w:rPr>
        <w:t>健全</w:t>
      </w:r>
      <w:r>
        <w:rPr>
          <w:rFonts w:hint="eastAsia" w:ascii="仿宋_GB2312" w:hAnsi="仿宋_GB2312" w:eastAsia="仿宋_GB2312" w:cs="仿宋_GB2312"/>
          <w:color w:val="auto"/>
          <w:kern w:val="21"/>
          <w:sz w:val="32"/>
          <w:szCs w:val="32"/>
        </w:rPr>
        <w:t>落实基本养老保险待遇调整机制，确保基本养老金按时足额发放。</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人社局</w:t>
      </w:r>
      <w:r>
        <w:rPr>
          <w:rFonts w:hint="eastAsia" w:ascii="黑体" w:hAnsi="黑体" w:eastAsia="黑体" w:cs="黑体"/>
          <w:b w:val="0"/>
          <w:bCs w:val="0"/>
          <w:color w:val="auto"/>
          <w:kern w:val="21"/>
          <w:sz w:val="32"/>
          <w:szCs w:val="32"/>
          <w:lang w:eastAsia="zh-CN"/>
        </w:rPr>
        <w:t>协调市级相关部门、区</w:t>
      </w:r>
      <w:r>
        <w:rPr>
          <w:rFonts w:hint="eastAsia" w:ascii="黑体" w:hAnsi="黑体" w:eastAsia="黑体" w:cs="黑体"/>
          <w:b w:val="0"/>
          <w:bCs w:val="0"/>
          <w:color w:val="auto"/>
          <w:kern w:val="21"/>
          <w:sz w:val="32"/>
          <w:szCs w:val="32"/>
        </w:rPr>
        <w:t>财政局）</w:t>
      </w:r>
      <w:r>
        <w:rPr>
          <w:rFonts w:hint="eastAsia" w:ascii="仿宋_GB2312" w:hAnsi="仿宋_GB2312" w:eastAsia="仿宋_GB2312" w:cs="仿宋_GB2312"/>
          <w:color w:val="auto"/>
          <w:kern w:val="21"/>
          <w:sz w:val="32"/>
          <w:szCs w:val="32"/>
        </w:rPr>
        <w:t>落实企业职工基本养老保险全国统筹要求。</w:t>
      </w:r>
      <w:r>
        <w:rPr>
          <w:rFonts w:hint="eastAsia" w:ascii="仿宋_GB2312" w:hAnsi="仿宋_GB2312" w:eastAsia="仿宋_GB2312" w:cs="仿宋_GB2312"/>
          <w:color w:val="auto"/>
          <w:kern w:val="21"/>
          <w:sz w:val="32"/>
          <w:szCs w:val="32"/>
          <w:lang w:eastAsia="zh-CN"/>
        </w:rPr>
        <w:t>完善</w:t>
      </w:r>
      <w:r>
        <w:rPr>
          <w:rFonts w:hint="eastAsia" w:ascii="仿宋_GB2312" w:hAnsi="仿宋_GB2312" w:eastAsia="仿宋_GB2312" w:cs="仿宋_GB2312"/>
          <w:color w:val="auto"/>
          <w:kern w:val="21"/>
          <w:sz w:val="32"/>
          <w:szCs w:val="32"/>
        </w:rPr>
        <w:t>企业（职业）年金</w:t>
      </w:r>
      <w:r>
        <w:rPr>
          <w:rFonts w:hint="eastAsia" w:ascii="仿宋_GB2312" w:hAnsi="仿宋_GB2312" w:eastAsia="仿宋_GB2312" w:cs="仿宋_GB2312"/>
          <w:color w:val="auto"/>
          <w:kern w:val="21"/>
          <w:sz w:val="32"/>
          <w:szCs w:val="32"/>
          <w:lang w:eastAsia="zh-CN"/>
        </w:rPr>
        <w:t>制度</w:t>
      </w:r>
      <w:r>
        <w:rPr>
          <w:rFonts w:hint="eastAsia" w:ascii="仿宋_GB2312" w:hAnsi="仿宋_GB2312" w:eastAsia="仿宋_GB2312" w:cs="仿宋_GB2312"/>
          <w:color w:val="auto"/>
          <w:kern w:val="21"/>
          <w:sz w:val="32"/>
          <w:szCs w:val="32"/>
        </w:rPr>
        <w:t>。</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人社局</w:t>
      </w:r>
      <w:r>
        <w:rPr>
          <w:rFonts w:hint="eastAsia" w:ascii="黑体" w:hAnsi="黑体" w:eastAsia="黑体" w:cs="黑体"/>
          <w:b w:val="0"/>
          <w:bCs w:val="0"/>
          <w:color w:val="auto"/>
          <w:kern w:val="21"/>
          <w:sz w:val="32"/>
          <w:szCs w:val="32"/>
          <w:lang w:eastAsia="zh-CN"/>
        </w:rPr>
        <w:t>协调市级相关部门</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健全完善困难老年人救助补助政策。</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二、健全养老服务体系</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Style w:val="28"/>
          <w:rFonts w:hint="eastAsia" w:ascii="仿宋_GB2312" w:hAnsi="仿宋_GB2312" w:eastAsia="仿宋_GB2312" w:cs="仿宋_GB2312"/>
          <w:color w:val="auto"/>
          <w:kern w:val="21"/>
          <w:sz w:val="32"/>
          <w:szCs w:val="32"/>
          <w:lang w:eastAsia="zh-CN"/>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二</w:t>
      </w:r>
      <w:r>
        <w:rPr>
          <w:rFonts w:hint="eastAsia" w:ascii="楷体_GB2312" w:hAnsi="楷体_GB2312" w:eastAsia="楷体_GB2312" w:cs="楷体_GB2312"/>
          <w:color w:val="auto"/>
          <w:kern w:val="21"/>
          <w:sz w:val="32"/>
          <w:szCs w:val="32"/>
        </w:rPr>
        <w:t>）完善社区居家养老服务</w:t>
      </w:r>
      <w:r>
        <w:rPr>
          <w:rFonts w:hint="eastAsia" w:ascii="楷体_GB2312" w:hAnsi="楷体_GB2312" w:eastAsia="楷体_GB2312" w:cs="楷体_GB2312"/>
          <w:color w:val="auto"/>
          <w:kern w:val="21"/>
          <w:sz w:val="32"/>
          <w:szCs w:val="32"/>
          <w:lang w:eastAsia="zh-CN"/>
        </w:rPr>
        <w:t>网络</w:t>
      </w:r>
      <w:r>
        <w:rPr>
          <w:rFonts w:hint="eastAsia" w:ascii="楷体_GB2312" w:hAnsi="楷体_GB2312" w:eastAsia="楷体_GB2312" w:cs="楷体_GB2312"/>
          <w:color w:val="auto"/>
          <w:kern w:val="21"/>
          <w:sz w:val="32"/>
          <w:szCs w:val="32"/>
        </w:rPr>
        <w:t>。</w:t>
      </w:r>
      <w:r>
        <w:rPr>
          <w:rFonts w:hint="eastAsia" w:ascii="仿宋" w:hAnsi="仿宋" w:eastAsia="仿宋" w:cs="仿宋"/>
          <w:color w:val="auto"/>
          <w:kern w:val="21"/>
          <w:sz w:val="32"/>
          <w:szCs w:val="32"/>
          <w:lang w:eastAsia="zh-CN"/>
        </w:rPr>
        <w:t>民政局负责统筹</w:t>
      </w:r>
      <w:r>
        <w:rPr>
          <w:rFonts w:hint="eastAsia" w:ascii="仿宋_GB2312" w:hAnsi="仿宋_GB2312" w:eastAsia="仿宋_GB2312" w:cs="仿宋_GB2312"/>
          <w:color w:val="auto"/>
          <w:kern w:val="21"/>
          <w:sz w:val="32"/>
          <w:szCs w:val="32"/>
        </w:rPr>
        <w:t>推进社区居家养老服务工作，均衡布局养老服务设施</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在街道（乡）层面，引进助餐、助洁等方面的为老服务专业机构，建设社区居家养老综合服务中心</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推进“</w:t>
      </w:r>
      <w:r>
        <w:rPr>
          <w:rFonts w:hint="eastAsia" w:ascii="仿宋" w:hAnsi="仿宋" w:eastAsia="仿宋" w:cs="仿宋"/>
          <w:spacing w:val="0"/>
          <w:sz w:val="32"/>
          <w:szCs w:val="32"/>
          <w:lang w:val="en-US" w:eastAsia="zh-CN"/>
        </w:rPr>
        <w:t>15</w:t>
      </w:r>
      <w:r>
        <w:rPr>
          <w:rFonts w:hint="eastAsia" w:ascii="仿宋_GB2312" w:hAnsi="仿宋_GB2312" w:eastAsia="仿宋_GB2312" w:cs="仿宋_GB2312"/>
          <w:color w:val="auto"/>
          <w:kern w:val="21"/>
          <w:sz w:val="32"/>
          <w:szCs w:val="32"/>
        </w:rPr>
        <w:t>分钟”居家养老服务圈建设；在社区（村）层面，鼓励依托日间照料中心建设嵌入式养老服务设施，引进护理专业机构开展居家老年人照护工作，发展以居家为基础的多样化养老服务。</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黑体" w:hAnsi="黑体" w:eastAsia="黑体" w:cs="黑体"/>
          <w:b w:val="0"/>
          <w:bCs w:val="0"/>
          <w:color w:val="auto"/>
          <w:kern w:val="21"/>
          <w:sz w:val="32"/>
          <w:szCs w:val="32"/>
          <w:lang w:eastAsia="zh-CN"/>
        </w:rPr>
        <w:t>五街一乡</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充分发挥社区党组织作用，探索“社区</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strike w:val="0"/>
          <w:dstrike w:val="0"/>
          <w:color w:val="auto"/>
          <w:kern w:val="21"/>
          <w:sz w:val="32"/>
          <w:szCs w:val="32"/>
          <w:highlight w:val="none"/>
        </w:rPr>
        <w:t>物业</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养老服务”模式，组织社会资源增加社区居家养老服务供给。</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委组织部）</w:t>
      </w:r>
      <w:r>
        <w:rPr>
          <w:rFonts w:hint="eastAsia" w:ascii="仿宋_GB2312" w:hAnsi="仿宋_GB2312" w:eastAsia="仿宋_GB2312" w:cs="仿宋_GB2312"/>
          <w:color w:val="auto"/>
          <w:kern w:val="21"/>
          <w:sz w:val="32"/>
          <w:szCs w:val="32"/>
        </w:rPr>
        <w:t>完善农村养老服务网络，依托农村养老大院发展互助式养老服务</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提升农村养老</w:t>
      </w:r>
      <w:r>
        <w:rPr>
          <w:rFonts w:hint="eastAsia" w:ascii="仿宋_GB2312" w:hAnsi="仿宋_GB2312" w:eastAsia="仿宋_GB2312" w:cs="仿宋_GB2312"/>
          <w:color w:val="auto"/>
          <w:kern w:val="21"/>
          <w:sz w:val="32"/>
          <w:szCs w:val="32"/>
          <w:lang w:eastAsia="zh-CN"/>
        </w:rPr>
        <w:t>服务</w:t>
      </w:r>
      <w:r>
        <w:rPr>
          <w:rFonts w:hint="eastAsia" w:ascii="仿宋_GB2312" w:hAnsi="仿宋_GB2312" w:eastAsia="仿宋_GB2312" w:cs="仿宋_GB2312"/>
          <w:color w:val="auto"/>
          <w:kern w:val="21"/>
          <w:sz w:val="32"/>
          <w:szCs w:val="32"/>
        </w:rPr>
        <w:t>水平。</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仿宋_GB2312" w:hAnsi="仿宋_GB2312" w:eastAsia="仿宋_GB2312" w:cs="仿宋_GB2312"/>
          <w:color w:val="auto"/>
          <w:kern w:val="21"/>
          <w:sz w:val="32"/>
          <w:szCs w:val="32"/>
        </w:rPr>
        <w:t>推进</w:t>
      </w:r>
      <w:r>
        <w:rPr>
          <w:rStyle w:val="28"/>
          <w:rFonts w:hint="eastAsia" w:ascii="仿宋_GB2312" w:hAnsi="仿宋_GB2312" w:eastAsia="仿宋_GB2312" w:cs="仿宋_GB2312"/>
          <w:color w:val="auto"/>
          <w:kern w:val="21"/>
          <w:sz w:val="32"/>
          <w:szCs w:val="32"/>
        </w:rPr>
        <w:t>银发食堂建设工作，</w:t>
      </w:r>
      <w:r>
        <w:rPr>
          <w:rFonts w:hint="eastAsia" w:ascii="仿宋_GB2312" w:hAnsi="仿宋_GB2312" w:eastAsia="仿宋_GB2312" w:cs="仿宋_GB2312"/>
          <w:color w:val="auto"/>
          <w:kern w:val="21"/>
          <w:sz w:val="32"/>
          <w:szCs w:val="32"/>
        </w:rPr>
        <w:t>作为惠普性供餐机构，为周边老年人提供助餐服务。</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仿宋" w:hAnsi="仿宋" w:eastAsia="仿宋" w:cs="仿宋"/>
          <w:spacing w:val="0"/>
          <w:sz w:val="32"/>
          <w:szCs w:val="32"/>
          <w:lang w:val="en-US" w:eastAsia="zh-CN"/>
        </w:rPr>
        <w:t>2022</w:t>
      </w:r>
      <w:r>
        <w:rPr>
          <w:rFonts w:hint="eastAsia" w:ascii="仿宋_GB2312" w:hAnsi="仿宋_GB2312" w:eastAsia="仿宋_GB2312" w:cs="仿宋_GB2312"/>
          <w:color w:val="auto"/>
          <w:kern w:val="21"/>
          <w:sz w:val="32"/>
          <w:szCs w:val="32"/>
          <w:lang w:eastAsia="zh-CN"/>
        </w:rPr>
        <w:t>年</w:t>
      </w:r>
      <w:r>
        <w:rPr>
          <w:rFonts w:hint="eastAsia" w:ascii="仿宋_GB2312" w:hAnsi="仿宋_GB2312" w:eastAsia="仿宋_GB2312" w:cs="仿宋_GB2312"/>
          <w:color w:val="auto"/>
          <w:kern w:val="21"/>
          <w:sz w:val="32"/>
          <w:szCs w:val="32"/>
        </w:rPr>
        <w:t>底</w:t>
      </w:r>
      <w:r>
        <w:rPr>
          <w:rFonts w:hint="eastAsia" w:ascii="仿宋_GB2312" w:hAnsi="仿宋_GB2312" w:eastAsia="仿宋_GB2312" w:cs="仿宋_GB2312"/>
          <w:color w:val="auto"/>
          <w:kern w:val="21"/>
          <w:sz w:val="32"/>
          <w:szCs w:val="32"/>
          <w:lang w:eastAsia="zh-CN"/>
        </w:rPr>
        <w:t>前</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color w:val="auto"/>
          <w:kern w:val="21"/>
          <w:sz w:val="32"/>
          <w:szCs w:val="32"/>
          <w:lang w:eastAsia="zh-CN"/>
        </w:rPr>
        <w:t>我</w:t>
      </w:r>
      <w:r>
        <w:rPr>
          <w:rFonts w:hint="eastAsia" w:ascii="仿宋_GB2312" w:hAnsi="仿宋_GB2312" w:eastAsia="仿宋_GB2312" w:cs="仿宋_GB2312"/>
          <w:color w:val="auto"/>
          <w:kern w:val="21"/>
          <w:sz w:val="32"/>
          <w:szCs w:val="32"/>
        </w:rPr>
        <w:t>区在城市社区至少建设</w:t>
      </w:r>
      <w:r>
        <w:rPr>
          <w:rFonts w:hint="eastAsia" w:ascii="仿宋" w:hAnsi="仿宋" w:eastAsia="仿宋" w:cs="仿宋"/>
          <w:spacing w:val="0"/>
          <w:sz w:val="32"/>
          <w:szCs w:val="32"/>
          <w:lang w:val="en-US" w:eastAsia="zh-CN"/>
        </w:rPr>
        <w:t>1</w:t>
      </w:r>
      <w:r>
        <w:rPr>
          <w:rFonts w:hint="eastAsia" w:ascii="仿宋_GB2312" w:hAnsi="仿宋_GB2312" w:eastAsia="仿宋_GB2312" w:cs="仿宋_GB2312"/>
          <w:color w:val="auto"/>
          <w:kern w:val="21"/>
          <w:sz w:val="32"/>
          <w:szCs w:val="32"/>
        </w:rPr>
        <w:t>个居家养老服务中心典型试点，在农村至少建设</w:t>
      </w:r>
      <w:r>
        <w:rPr>
          <w:rFonts w:hint="eastAsia" w:ascii="仿宋" w:hAnsi="仿宋" w:eastAsia="仿宋" w:cs="仿宋"/>
          <w:spacing w:val="0"/>
          <w:sz w:val="32"/>
          <w:szCs w:val="32"/>
          <w:lang w:val="en-US" w:eastAsia="zh-CN"/>
        </w:rPr>
        <w:t>1</w:t>
      </w:r>
      <w:r>
        <w:rPr>
          <w:rFonts w:hint="eastAsia" w:ascii="仿宋_GB2312" w:hAnsi="仿宋_GB2312" w:eastAsia="仿宋_GB2312" w:cs="仿宋_GB2312"/>
          <w:color w:val="auto"/>
          <w:kern w:val="21"/>
          <w:sz w:val="32"/>
          <w:szCs w:val="32"/>
        </w:rPr>
        <w:t>个农村养老服务大院典型试点</w:t>
      </w:r>
      <w:r>
        <w:rPr>
          <w:rFonts w:hint="eastAsia" w:ascii="仿宋_GB2312" w:hAnsi="仿宋_GB2312" w:eastAsia="仿宋_GB2312" w:cs="仿宋_GB2312"/>
          <w:color w:val="auto"/>
          <w:kern w:val="21"/>
          <w:sz w:val="32"/>
          <w:szCs w:val="32"/>
          <w:lang w:eastAsia="zh-CN"/>
        </w:rPr>
        <w:t>。</w:t>
      </w:r>
      <w:r>
        <w:rPr>
          <w:rFonts w:hint="eastAsia" w:ascii="仿宋" w:hAnsi="仿宋" w:eastAsia="仿宋" w:cs="仿宋"/>
          <w:spacing w:val="0"/>
          <w:sz w:val="32"/>
          <w:szCs w:val="32"/>
          <w:lang w:val="en-US" w:eastAsia="zh-CN"/>
        </w:rPr>
        <w:t>2023</w:t>
      </w:r>
      <w:r>
        <w:rPr>
          <w:rFonts w:hint="eastAsia" w:ascii="仿宋_GB2312" w:hAnsi="仿宋_GB2312" w:eastAsia="仿宋_GB2312" w:cs="仿宋_GB2312"/>
          <w:color w:val="auto"/>
          <w:kern w:val="21"/>
          <w:sz w:val="32"/>
          <w:szCs w:val="32"/>
        </w:rPr>
        <w:t>年</w:t>
      </w:r>
      <w:r>
        <w:rPr>
          <w:rFonts w:hint="eastAsia" w:ascii="仿宋_GB2312" w:hAnsi="仿宋_GB2312" w:eastAsia="仿宋_GB2312" w:cs="仿宋_GB2312"/>
          <w:color w:val="auto"/>
          <w:kern w:val="21"/>
          <w:sz w:val="32"/>
          <w:szCs w:val="32"/>
          <w:lang w:eastAsia="zh-CN"/>
        </w:rPr>
        <w:t>年</w:t>
      </w:r>
      <w:r>
        <w:rPr>
          <w:rFonts w:hint="eastAsia" w:ascii="仿宋_GB2312" w:hAnsi="仿宋_GB2312" w:eastAsia="仿宋_GB2312" w:cs="仿宋_GB2312"/>
          <w:color w:val="auto"/>
          <w:kern w:val="21"/>
          <w:sz w:val="32"/>
          <w:szCs w:val="32"/>
        </w:rPr>
        <w:t>底</w:t>
      </w:r>
      <w:r>
        <w:rPr>
          <w:rFonts w:hint="eastAsia" w:ascii="仿宋_GB2312" w:hAnsi="仿宋_GB2312" w:eastAsia="仿宋_GB2312" w:cs="仿宋_GB2312"/>
          <w:color w:val="auto"/>
          <w:kern w:val="21"/>
          <w:sz w:val="32"/>
          <w:szCs w:val="32"/>
          <w:lang w:eastAsia="zh-CN"/>
        </w:rPr>
        <w:t>前</w:t>
      </w:r>
      <w:r>
        <w:rPr>
          <w:rFonts w:hint="eastAsia" w:ascii="仿宋_GB2312" w:hAnsi="仿宋_GB2312" w:eastAsia="仿宋_GB2312" w:cs="仿宋_GB2312"/>
          <w:color w:val="auto"/>
          <w:kern w:val="21"/>
          <w:sz w:val="32"/>
          <w:szCs w:val="32"/>
        </w:rPr>
        <w:t>，</w:t>
      </w:r>
      <w:r>
        <w:rPr>
          <w:rFonts w:hint="eastAsia" w:ascii="仿宋_GB2312" w:hAnsi="仿宋_GB2312" w:eastAsia="仿宋_GB2312" w:cs="仿宋_GB2312"/>
          <w:color w:val="auto"/>
          <w:kern w:val="21"/>
          <w:sz w:val="32"/>
          <w:szCs w:val="32"/>
          <w:lang w:eastAsia="zh-CN"/>
        </w:rPr>
        <w:t>我</w:t>
      </w:r>
      <w:r>
        <w:rPr>
          <w:rStyle w:val="28"/>
          <w:rFonts w:hint="eastAsia" w:ascii="仿宋_GB2312" w:hAnsi="仿宋_GB2312" w:eastAsia="仿宋_GB2312" w:cs="仿宋_GB2312"/>
          <w:color w:val="auto"/>
          <w:kern w:val="21"/>
          <w:sz w:val="32"/>
          <w:szCs w:val="32"/>
        </w:rPr>
        <w:t>区</w:t>
      </w:r>
      <w:r>
        <w:rPr>
          <w:rFonts w:hint="eastAsia" w:ascii="仿宋_GB2312" w:hAnsi="仿宋_GB2312" w:eastAsia="仿宋_GB2312" w:cs="仿宋_GB2312"/>
          <w:color w:val="auto"/>
          <w:kern w:val="21"/>
          <w:sz w:val="32"/>
          <w:szCs w:val="32"/>
        </w:rPr>
        <w:t>至少建设</w:t>
      </w:r>
      <w:r>
        <w:rPr>
          <w:rFonts w:hint="eastAsia" w:ascii="仿宋" w:hAnsi="仿宋" w:eastAsia="仿宋" w:cs="仿宋"/>
          <w:spacing w:val="0"/>
          <w:sz w:val="32"/>
          <w:szCs w:val="32"/>
          <w:lang w:val="en-US" w:eastAsia="zh-CN"/>
        </w:rPr>
        <w:t>1</w:t>
      </w:r>
      <w:r>
        <w:rPr>
          <w:rStyle w:val="28"/>
          <w:rFonts w:hint="eastAsia" w:ascii="仿宋_GB2312" w:hAnsi="仿宋_GB2312" w:eastAsia="仿宋_GB2312" w:cs="仿宋_GB2312"/>
          <w:color w:val="auto"/>
          <w:kern w:val="21"/>
          <w:sz w:val="32"/>
          <w:szCs w:val="32"/>
        </w:rPr>
        <w:t>个银发食堂</w:t>
      </w:r>
      <w:r>
        <w:rPr>
          <w:rStyle w:val="28"/>
          <w:rFonts w:hint="eastAsia" w:ascii="仿宋_GB2312" w:hAnsi="仿宋_GB2312" w:eastAsia="仿宋_GB2312" w:cs="仿宋_GB2312"/>
          <w:color w:val="auto"/>
          <w:kern w:val="21"/>
          <w:sz w:val="32"/>
          <w:szCs w:val="32"/>
          <w:lang w:eastAsia="zh-CN"/>
        </w:rPr>
        <w:t>典型</w:t>
      </w:r>
      <w:r>
        <w:rPr>
          <w:rStyle w:val="28"/>
          <w:rFonts w:hint="eastAsia" w:ascii="仿宋_GB2312" w:hAnsi="仿宋_GB2312" w:eastAsia="仿宋_GB2312" w:cs="仿宋_GB2312"/>
          <w:color w:val="auto"/>
          <w:kern w:val="21"/>
          <w:sz w:val="32"/>
          <w:szCs w:val="32"/>
        </w:rPr>
        <w:t>试点</w:t>
      </w:r>
      <w:r>
        <w:rPr>
          <w:rStyle w:val="28"/>
          <w:rFonts w:hint="eastAsia" w:ascii="仿宋_GB2312" w:hAnsi="仿宋_GB2312" w:eastAsia="仿宋_GB2312" w:cs="仿宋_GB2312"/>
          <w:color w:val="auto"/>
          <w:kern w:val="21"/>
          <w:sz w:val="32"/>
          <w:szCs w:val="32"/>
          <w:lang w:eastAsia="zh-CN"/>
        </w:rPr>
        <w:t>。</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三</w:t>
      </w:r>
      <w:r>
        <w:rPr>
          <w:rFonts w:hint="eastAsia" w:ascii="楷体_GB2312" w:hAnsi="楷体_GB2312" w:eastAsia="楷体_GB2312" w:cs="楷体_GB2312"/>
          <w:color w:val="auto"/>
          <w:kern w:val="21"/>
          <w:sz w:val="32"/>
          <w:szCs w:val="32"/>
        </w:rPr>
        <w:t>）进一步</w:t>
      </w:r>
      <w:r>
        <w:rPr>
          <w:rFonts w:hint="eastAsia" w:ascii="楷体_GB2312" w:hAnsi="楷体_GB2312" w:eastAsia="楷体_GB2312" w:cs="楷体_GB2312"/>
          <w:color w:val="auto"/>
          <w:kern w:val="21"/>
          <w:sz w:val="32"/>
          <w:szCs w:val="32"/>
          <w:lang w:eastAsia="zh-CN"/>
        </w:rPr>
        <w:t>规范</w:t>
      </w:r>
      <w:r>
        <w:rPr>
          <w:rFonts w:hint="eastAsia" w:ascii="楷体_GB2312" w:hAnsi="楷体_GB2312" w:eastAsia="楷体_GB2312" w:cs="楷体_GB2312"/>
          <w:color w:val="auto"/>
          <w:kern w:val="21"/>
          <w:sz w:val="32"/>
          <w:szCs w:val="32"/>
        </w:rPr>
        <w:t>发展机构养老。</w:t>
      </w:r>
      <w:r>
        <w:rPr>
          <w:rFonts w:hint="eastAsia" w:ascii="仿宋_GB2312" w:hAnsi="仿宋_GB2312" w:eastAsia="仿宋_GB2312" w:cs="仿宋_GB2312"/>
          <w:color w:val="auto"/>
          <w:kern w:val="21"/>
          <w:sz w:val="32"/>
          <w:szCs w:val="32"/>
        </w:rPr>
        <w:t>要建立健全土地使用、财政补贴、投资融资、人才培养等政策</w:t>
      </w:r>
      <w:r>
        <w:rPr>
          <w:rFonts w:hint="eastAsia" w:ascii="仿宋_GB2312" w:hAnsi="仿宋_GB2312" w:eastAsia="仿宋_GB2312" w:cs="仿宋_GB2312"/>
          <w:color w:val="auto"/>
          <w:kern w:val="21"/>
          <w:sz w:val="32"/>
          <w:szCs w:val="32"/>
          <w:lang w:eastAsia="zh-CN"/>
        </w:rPr>
        <w:t>体系</w:t>
      </w:r>
      <w:r>
        <w:rPr>
          <w:rFonts w:hint="eastAsia" w:ascii="仿宋_GB2312" w:hAnsi="仿宋_GB2312" w:eastAsia="仿宋_GB2312" w:cs="仿宋_GB2312"/>
          <w:color w:val="auto"/>
          <w:kern w:val="21"/>
          <w:sz w:val="32"/>
          <w:szCs w:val="32"/>
        </w:rPr>
        <w:t>，通过直接建设、委托运营、购买服务、鼓励社会投资等多种方式发展机构养老，推动养老服务机构规模化、品牌化、连锁化运营。</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黑体" w:hAnsi="黑体" w:eastAsia="黑体" w:cs="黑体"/>
          <w:b w:val="0"/>
          <w:bCs w:val="0"/>
          <w:color w:val="auto"/>
          <w:kern w:val="21"/>
          <w:sz w:val="32"/>
          <w:szCs w:val="32"/>
          <w:lang w:eastAsia="zh-CN"/>
        </w:rPr>
        <w:t>区人社局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加强光荣院建设，提升服务水平。</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退役军人事务局）</w:t>
      </w:r>
      <w:r>
        <w:rPr>
          <w:rFonts w:hint="eastAsia" w:ascii="仿宋_GB2312" w:hAnsi="仿宋_GB2312" w:eastAsia="仿宋_GB2312" w:cs="仿宋_GB2312"/>
          <w:color w:val="auto"/>
          <w:kern w:val="21"/>
          <w:sz w:val="32"/>
          <w:szCs w:val="32"/>
        </w:rPr>
        <w:t>进一步建立健全养老服务标准体系和评价体系，规范养老服务机构收费行为，探索养老机构预收服务费用管理制度。</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民政局、市市场监管局</w:t>
      </w:r>
      <w:r>
        <w:rPr>
          <w:rFonts w:hint="eastAsia" w:ascii="黑体" w:hAnsi="黑体" w:eastAsia="黑体" w:cs="黑体"/>
          <w:b w:val="0"/>
          <w:bCs w:val="0"/>
          <w:color w:val="auto"/>
          <w:kern w:val="21"/>
          <w:sz w:val="32"/>
          <w:szCs w:val="32"/>
          <w:lang w:eastAsia="zh-CN"/>
        </w:rPr>
        <w:t>铁西分局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严防以借开办养老机构之名圈钱、欺诈、非法集资等违法犯罪活动，持续开展对老年人产品和服务消费领域侵权行为整治工作。</w:t>
      </w:r>
      <w:r>
        <w:rPr>
          <w:rFonts w:hint="eastAsia" w:ascii="黑体" w:hAnsi="黑体" w:eastAsia="黑体" w:cs="黑体"/>
          <w:b w:val="0"/>
          <w:bCs w:val="0"/>
          <w:color w:val="auto"/>
          <w:kern w:val="21"/>
          <w:sz w:val="32"/>
          <w:szCs w:val="32"/>
        </w:rPr>
        <w:t>（责任单位：市市场监管局</w:t>
      </w:r>
      <w:r>
        <w:rPr>
          <w:rFonts w:hint="eastAsia" w:ascii="黑体" w:hAnsi="黑体" w:eastAsia="黑体" w:cs="黑体"/>
          <w:b w:val="0"/>
          <w:bCs w:val="0"/>
          <w:color w:val="auto"/>
          <w:kern w:val="21"/>
          <w:sz w:val="32"/>
          <w:szCs w:val="32"/>
          <w:lang w:eastAsia="zh-CN"/>
        </w:rPr>
        <w:t>铁西分局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铁西</w:t>
      </w:r>
      <w:r>
        <w:rPr>
          <w:rFonts w:hint="eastAsia" w:ascii="黑体" w:hAnsi="黑体" w:eastAsia="黑体" w:cs="黑体"/>
          <w:b w:val="0"/>
          <w:bCs w:val="0"/>
          <w:color w:val="auto"/>
          <w:kern w:val="21"/>
          <w:sz w:val="32"/>
          <w:szCs w:val="32"/>
        </w:rPr>
        <w:t>公安</w:t>
      </w:r>
      <w:r>
        <w:rPr>
          <w:rFonts w:hint="eastAsia" w:ascii="黑体" w:hAnsi="黑体" w:eastAsia="黑体" w:cs="黑体"/>
          <w:b w:val="0"/>
          <w:bCs w:val="0"/>
          <w:color w:val="auto"/>
          <w:kern w:val="21"/>
          <w:sz w:val="32"/>
          <w:szCs w:val="32"/>
          <w:lang w:eastAsia="zh-CN"/>
        </w:rPr>
        <w:t>分</w:t>
      </w:r>
      <w:r>
        <w:rPr>
          <w:rFonts w:hint="eastAsia" w:ascii="黑体" w:hAnsi="黑体" w:eastAsia="黑体" w:cs="黑体"/>
          <w:b w:val="0"/>
          <w:bCs w:val="0"/>
          <w:color w:val="auto"/>
          <w:kern w:val="21"/>
          <w:sz w:val="32"/>
          <w:szCs w:val="32"/>
        </w:rPr>
        <w:t>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b w:val="0"/>
          <w:bCs w:val="0"/>
          <w:color w:val="auto"/>
          <w:kern w:val="21"/>
          <w:sz w:val="32"/>
          <w:szCs w:val="32"/>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四</w:t>
      </w:r>
      <w:r>
        <w:rPr>
          <w:rFonts w:hint="eastAsia" w:ascii="楷体_GB2312" w:hAnsi="楷体_GB2312" w:eastAsia="楷体_GB2312" w:cs="楷体_GB2312"/>
          <w:color w:val="auto"/>
          <w:kern w:val="21"/>
          <w:sz w:val="32"/>
          <w:szCs w:val="32"/>
        </w:rPr>
        <w:t>）建立基本养老服务清单制度。</w:t>
      </w:r>
      <w:r>
        <w:rPr>
          <w:rFonts w:hint="eastAsia" w:ascii="仿宋_GB2312" w:hAnsi="仿宋_GB2312" w:eastAsia="仿宋_GB2312" w:cs="仿宋_GB2312"/>
          <w:color w:val="auto"/>
          <w:kern w:val="21"/>
          <w:sz w:val="32"/>
          <w:szCs w:val="32"/>
        </w:rPr>
        <w:t>对健康、失能</w:t>
      </w:r>
      <w:r>
        <w:rPr>
          <w:rFonts w:hint="eastAsia" w:ascii="仿宋_GB2312" w:hAnsi="仿宋_GB2312" w:eastAsia="仿宋_GB2312" w:cs="仿宋_GB2312"/>
          <w:color w:val="auto"/>
          <w:kern w:val="21"/>
          <w:sz w:val="32"/>
          <w:szCs w:val="32"/>
          <w:lang w:eastAsia="zh-CN"/>
        </w:rPr>
        <w:t>（含失智，下同）</w:t>
      </w:r>
      <w:r>
        <w:rPr>
          <w:rFonts w:hint="eastAsia" w:ascii="仿宋_GB2312" w:hAnsi="仿宋_GB2312" w:eastAsia="仿宋_GB2312" w:cs="仿宋_GB2312"/>
          <w:color w:val="auto"/>
          <w:kern w:val="21"/>
          <w:sz w:val="32"/>
          <w:szCs w:val="32"/>
        </w:rPr>
        <w:t>、经济困难等不同老年人群体，以清单化方式分类提供适宜的基本养老服务。清单要明确服务对象、服务标准、服务内容、服务流程和支出责任，并根据我</w:t>
      </w:r>
      <w:r>
        <w:rPr>
          <w:rFonts w:hint="eastAsia" w:ascii="仿宋_GB2312" w:hAnsi="仿宋_GB2312" w:eastAsia="仿宋_GB2312" w:cs="仿宋_GB2312"/>
          <w:color w:val="auto"/>
          <w:kern w:val="21"/>
          <w:sz w:val="32"/>
          <w:szCs w:val="32"/>
          <w:lang w:eastAsia="zh-CN"/>
        </w:rPr>
        <w:t>区</w:t>
      </w:r>
      <w:r>
        <w:rPr>
          <w:rFonts w:hint="eastAsia" w:ascii="仿宋_GB2312" w:hAnsi="仿宋_GB2312" w:eastAsia="仿宋_GB2312" w:cs="仿宋_GB2312"/>
          <w:color w:val="auto"/>
          <w:kern w:val="21"/>
          <w:sz w:val="32"/>
          <w:szCs w:val="32"/>
        </w:rPr>
        <w:t>经济和社会发展水平动态调整。制定经济困难老年人养老服务补贴和失能经济困难老年人护理补贴等基本养老服务清单，做好对不同老年人群体基本养老服务保障工作。将养老服务纳入政府购买服务指导性目录。开展老年人能力综合评估，探索建立评估结果跨部门互认机制和评估数据共享机制，在确保评估对象个人信息等数据安全的前提下，定期沟通调度，实现评估数据共享。</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三、完善老年人健康支撑体系</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b w:val="0"/>
          <w:bCs w:val="0"/>
          <w:color w:val="auto"/>
          <w:kern w:val="21"/>
          <w:sz w:val="32"/>
          <w:szCs w:val="32"/>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五</w:t>
      </w:r>
      <w:r>
        <w:rPr>
          <w:rFonts w:hint="eastAsia" w:ascii="楷体_GB2312" w:hAnsi="楷体_GB2312" w:eastAsia="楷体_GB2312" w:cs="楷体_GB2312"/>
          <w:color w:val="auto"/>
          <w:kern w:val="21"/>
          <w:sz w:val="32"/>
          <w:szCs w:val="32"/>
        </w:rPr>
        <w:t>）提高老年人健康服务质量。</w:t>
      </w:r>
      <w:r>
        <w:rPr>
          <w:rFonts w:hint="eastAsia" w:ascii="仿宋_GB2312" w:hAnsi="仿宋_GB2312" w:eastAsia="仿宋_GB2312" w:cs="仿宋_GB2312"/>
          <w:color w:val="auto"/>
          <w:kern w:val="21"/>
          <w:sz w:val="32"/>
          <w:szCs w:val="32"/>
        </w:rPr>
        <w:t>充分发挥城乡社区组织、医疗机构在老年健康知识宣传和教育中的积极作用，利用传统媒体、新媒体等多种方式，对老年人健康管理政策和常见病、慢性病防治知识进行宣传，不断提升老年人健康素养，培养老年人形成健康的生活方式。</w:t>
      </w:r>
      <w:r>
        <w:rPr>
          <w:rFonts w:hint="eastAsia" w:ascii="仿宋_GB2312" w:hAnsi="仿宋_GB2312" w:eastAsia="仿宋_GB2312" w:cs="仿宋_GB2312"/>
          <w:color w:val="auto"/>
          <w:kern w:val="21"/>
          <w:sz w:val="32"/>
          <w:szCs w:val="32"/>
          <w:lang w:eastAsia="zh-CN"/>
        </w:rPr>
        <w:t>加强对</w:t>
      </w:r>
      <w:r>
        <w:rPr>
          <w:rFonts w:hint="eastAsia" w:ascii="仿宋_GB2312" w:hAnsi="仿宋_GB2312" w:eastAsia="仿宋_GB2312" w:cs="仿宋_GB2312"/>
          <w:color w:val="auto"/>
          <w:kern w:val="21"/>
          <w:sz w:val="32"/>
          <w:szCs w:val="32"/>
        </w:rPr>
        <w:t>老年人群重点慢性病、重大疾病的早期筛查、干预和分类指导，开展脑健康体检和失能预防，减少、延缓老年人失能失智发生。开展老年口腔健康、老年心理关爱和老年营养改善行动。拓展家庭医生签约服务覆盖率，提高服务质量。</w:t>
      </w:r>
      <w:r>
        <w:rPr>
          <w:rFonts w:hint="eastAsia" w:ascii="仿宋_GB2312" w:hAnsi="仿宋_GB2312" w:eastAsia="仿宋_GB2312" w:cs="仿宋_GB2312"/>
          <w:color w:val="auto"/>
          <w:kern w:val="21"/>
          <w:sz w:val="32"/>
          <w:szCs w:val="32"/>
          <w:lang w:eastAsia="zh-CN"/>
        </w:rPr>
        <w:t>持续推进“全民健康智医管理”信息平台项目，嵌入数据分析、动态监管、人工智能等服务功能。</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b w:val="0"/>
          <w:bCs w:val="0"/>
          <w:color w:val="auto"/>
          <w:kern w:val="21"/>
          <w:sz w:val="32"/>
          <w:szCs w:val="32"/>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六</w:t>
      </w:r>
      <w:r>
        <w:rPr>
          <w:rFonts w:hint="eastAsia" w:ascii="楷体_GB2312" w:hAnsi="楷体_GB2312" w:eastAsia="楷体_GB2312" w:cs="楷体_GB2312"/>
          <w:color w:val="auto"/>
          <w:kern w:val="21"/>
          <w:sz w:val="32"/>
          <w:szCs w:val="32"/>
        </w:rPr>
        <w:t>）提升老年人医疗服务水平。</w:t>
      </w:r>
      <w:r>
        <w:rPr>
          <w:rFonts w:hint="eastAsia" w:ascii="仿宋_GB2312" w:hAnsi="仿宋_GB2312" w:eastAsia="仿宋_GB2312" w:cs="仿宋_GB2312"/>
          <w:color w:val="auto"/>
          <w:kern w:val="21"/>
          <w:sz w:val="32"/>
          <w:szCs w:val="32"/>
        </w:rPr>
        <w:t>完善老年医疗资源布局，建立健全以基层医疗机构为基础、综合性医院老年医学科为核心的老年医疗服务网络。进一步规范预约转诊服务标准、服务流程和管理办法，加大号源下沉力度，推动按需转诊，方便老年人挂号就医。推进二级及以上综合</w:t>
      </w:r>
      <w:r>
        <w:rPr>
          <w:rFonts w:hint="eastAsia" w:ascii="仿宋_GB2312" w:hAnsi="仿宋_GB2312" w:eastAsia="仿宋_GB2312" w:cs="仿宋_GB2312"/>
          <w:color w:val="auto"/>
          <w:kern w:val="21"/>
          <w:sz w:val="32"/>
          <w:szCs w:val="32"/>
          <w:lang w:eastAsia="zh-CN"/>
        </w:rPr>
        <w:t>性</w:t>
      </w:r>
      <w:r>
        <w:rPr>
          <w:rFonts w:hint="eastAsia" w:ascii="仿宋_GB2312" w:hAnsi="仿宋_GB2312" w:eastAsia="仿宋_GB2312" w:cs="仿宋_GB2312"/>
          <w:color w:val="auto"/>
          <w:kern w:val="21"/>
          <w:sz w:val="32"/>
          <w:szCs w:val="32"/>
        </w:rPr>
        <w:t>医院老年医学科和康复医学科建设，到</w:t>
      </w:r>
      <w:r>
        <w:rPr>
          <w:rFonts w:hint="eastAsia" w:ascii="仿宋" w:hAnsi="仿宋" w:eastAsia="仿宋" w:cs="仿宋"/>
          <w:spacing w:val="0"/>
          <w:sz w:val="32"/>
          <w:szCs w:val="32"/>
          <w:lang w:val="en-US" w:eastAsia="zh-CN"/>
        </w:rPr>
        <w:t>2025</w:t>
      </w:r>
      <w:r>
        <w:rPr>
          <w:rFonts w:hint="eastAsia" w:ascii="仿宋_GB2312" w:hAnsi="仿宋_GB2312" w:eastAsia="仿宋_GB2312" w:cs="仿宋_GB2312"/>
          <w:color w:val="auto"/>
          <w:kern w:val="21"/>
          <w:sz w:val="32"/>
          <w:szCs w:val="32"/>
        </w:rPr>
        <w:t>年，二级及以上综合性医院设立老年医学科的比例达到</w:t>
      </w:r>
      <w:r>
        <w:rPr>
          <w:rFonts w:hint="eastAsia" w:ascii="仿宋" w:hAnsi="仿宋" w:eastAsia="仿宋" w:cs="仿宋"/>
          <w:spacing w:val="0"/>
          <w:sz w:val="32"/>
          <w:szCs w:val="32"/>
          <w:lang w:val="en-US" w:eastAsia="zh-CN"/>
        </w:rPr>
        <w:t>60</w:t>
      </w:r>
      <w:r>
        <w:rPr>
          <w:rFonts w:hint="eastAsia" w:ascii="仿宋_GB2312" w:hAnsi="仿宋_GB2312" w:eastAsia="仿宋_GB2312" w:cs="仿宋_GB2312"/>
          <w:color w:val="auto"/>
          <w:kern w:val="21"/>
          <w:sz w:val="32"/>
          <w:szCs w:val="32"/>
        </w:rPr>
        <w:t>%以上。推进老年友善医疗机构建设，优化老年人就医环境，建立老年人就医绿色通道</w:t>
      </w:r>
      <w:r>
        <w:rPr>
          <w:rFonts w:hint="eastAsia" w:ascii="仿宋_GB2312" w:hAnsi="仿宋_GB2312" w:eastAsia="仿宋_GB2312" w:cs="仿宋_GB2312"/>
          <w:color w:val="auto"/>
          <w:kern w:val="21"/>
          <w:sz w:val="32"/>
          <w:szCs w:val="32"/>
          <w:lang w:eastAsia="zh-CN"/>
        </w:rPr>
        <w:t>。</w:t>
      </w:r>
      <w:r>
        <w:rPr>
          <w:rFonts w:hint="eastAsia" w:ascii="仿宋" w:hAnsi="仿宋" w:eastAsia="仿宋" w:cs="仿宋"/>
          <w:spacing w:val="0"/>
          <w:sz w:val="32"/>
          <w:szCs w:val="32"/>
          <w:lang w:val="en-US" w:eastAsia="zh-CN"/>
        </w:rPr>
        <w:t>2022</w:t>
      </w:r>
      <w:r>
        <w:rPr>
          <w:rFonts w:hint="eastAsia" w:ascii="仿宋_GB2312" w:hAnsi="仿宋_GB2312" w:eastAsia="仿宋_GB2312" w:cs="仿宋_GB2312"/>
          <w:color w:val="auto"/>
          <w:kern w:val="21"/>
          <w:sz w:val="32"/>
          <w:szCs w:val="32"/>
        </w:rPr>
        <w:t>年</w:t>
      </w:r>
      <w:r>
        <w:rPr>
          <w:rFonts w:hint="eastAsia" w:ascii="仿宋_GB2312" w:hAnsi="仿宋_GB2312" w:eastAsia="仿宋_GB2312" w:cs="仿宋_GB2312"/>
          <w:color w:val="auto"/>
          <w:kern w:val="21"/>
          <w:sz w:val="32"/>
          <w:szCs w:val="32"/>
          <w:lang w:eastAsia="zh-CN"/>
        </w:rPr>
        <w:t>年底前</w:t>
      </w:r>
      <w:r>
        <w:rPr>
          <w:rFonts w:hint="eastAsia" w:ascii="仿宋_GB2312" w:hAnsi="仿宋_GB2312" w:eastAsia="仿宋_GB2312" w:cs="仿宋_GB2312"/>
          <w:color w:val="auto"/>
          <w:kern w:val="21"/>
          <w:sz w:val="32"/>
          <w:szCs w:val="32"/>
        </w:rPr>
        <w:t>，</w:t>
      </w:r>
      <w:r>
        <w:rPr>
          <w:rFonts w:hint="eastAsia" w:ascii="仿宋" w:hAnsi="仿宋" w:eastAsia="仿宋" w:cs="仿宋"/>
          <w:spacing w:val="0"/>
          <w:sz w:val="32"/>
          <w:szCs w:val="32"/>
          <w:lang w:val="en-US" w:eastAsia="zh-CN"/>
        </w:rPr>
        <w:t>80</w:t>
      </w:r>
      <w:r>
        <w:rPr>
          <w:rFonts w:hint="eastAsia" w:ascii="仿宋_GB2312" w:hAnsi="仿宋_GB2312" w:eastAsia="仿宋_GB2312" w:cs="仿宋_GB2312"/>
          <w:color w:val="auto"/>
          <w:kern w:val="21"/>
          <w:sz w:val="32"/>
          <w:szCs w:val="32"/>
        </w:rPr>
        <w:t>%以上的综合性医院、中医医院、康复医院、护理院和基层医疗机构成为老年友善医疗机构。发挥中医药独特优势，推动优质中医药诊疗资源下沉，促进优质中医药资源向社区、家庭延伸。</w:t>
      </w:r>
      <w:r>
        <w:rPr>
          <w:rFonts w:hint="eastAsia" w:ascii="仿宋_GB2312" w:hAnsi="仿宋_GB2312" w:eastAsia="仿宋_GB2312" w:cs="仿宋_GB2312"/>
          <w:color w:val="auto"/>
          <w:kern w:val="21"/>
          <w:sz w:val="32"/>
          <w:szCs w:val="32"/>
          <w:lang w:eastAsia="zh-CN"/>
        </w:rPr>
        <w:t>到</w:t>
      </w:r>
      <w:r>
        <w:rPr>
          <w:rFonts w:hint="eastAsia" w:ascii="仿宋" w:hAnsi="仿宋" w:eastAsia="仿宋" w:cs="仿宋"/>
          <w:spacing w:val="0"/>
          <w:sz w:val="32"/>
          <w:szCs w:val="32"/>
          <w:lang w:val="en-US" w:eastAsia="zh-CN"/>
        </w:rPr>
        <w:t>2025</w:t>
      </w:r>
      <w:r>
        <w:rPr>
          <w:rFonts w:hint="eastAsia" w:ascii="仿宋_GB2312" w:hAnsi="仿宋_GB2312" w:eastAsia="仿宋_GB2312" w:cs="仿宋_GB2312"/>
          <w:color w:val="auto"/>
          <w:kern w:val="21"/>
          <w:sz w:val="32"/>
          <w:szCs w:val="32"/>
        </w:rPr>
        <w:t>年，实现</w:t>
      </w:r>
      <w:r>
        <w:rPr>
          <w:rFonts w:hint="eastAsia" w:ascii="仿宋_GB2312" w:hAnsi="仿宋_GB2312" w:eastAsia="仿宋_GB2312" w:cs="仿宋_GB2312"/>
          <w:color w:val="auto"/>
          <w:kern w:val="21"/>
          <w:sz w:val="32"/>
          <w:szCs w:val="32"/>
          <w:lang w:eastAsia="zh-CN"/>
        </w:rPr>
        <w:t>区</w:t>
      </w:r>
      <w:r>
        <w:rPr>
          <w:rFonts w:hint="eastAsia" w:ascii="仿宋_GB2312" w:hAnsi="仿宋_GB2312" w:eastAsia="仿宋_GB2312" w:cs="仿宋_GB2312"/>
          <w:color w:val="auto"/>
          <w:kern w:val="21"/>
          <w:sz w:val="32"/>
          <w:szCs w:val="32"/>
        </w:rPr>
        <w:t>级公立中医医疗机构中医药特色老年健康中心全覆盖。探索建立安宁疗护服务，鼓励具备条件的二级及以上医疗机构、基层医疗机构和医养结合机构开展安宁疗护服务，开设安宁疗护病区或增加安宁疗护床位，为有需求的老年人及家属提供便利服务。对安宁疗护服务的部分诊疗项目，探索</w:t>
      </w:r>
      <w:r>
        <w:rPr>
          <w:rFonts w:hint="eastAsia" w:ascii="仿宋_GB2312" w:hAnsi="仿宋_GB2312" w:eastAsia="仿宋_GB2312" w:cs="仿宋_GB2312"/>
          <w:color w:val="auto"/>
          <w:kern w:val="21"/>
          <w:sz w:val="32"/>
          <w:szCs w:val="32"/>
          <w:lang w:eastAsia="zh-CN"/>
        </w:rPr>
        <w:t>建立</w:t>
      </w:r>
      <w:r>
        <w:rPr>
          <w:rFonts w:hint="eastAsia" w:ascii="仿宋_GB2312" w:hAnsi="仿宋_GB2312" w:eastAsia="仿宋_GB2312" w:cs="仿宋_GB2312"/>
          <w:color w:val="auto"/>
          <w:kern w:val="21"/>
          <w:sz w:val="32"/>
          <w:szCs w:val="32"/>
        </w:rPr>
        <w:t>舒缓疗护保障机制，提高医保基金保障效能。</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局、区</w:t>
      </w:r>
      <w:r>
        <w:rPr>
          <w:rFonts w:hint="eastAsia" w:ascii="黑体" w:hAnsi="黑体" w:eastAsia="黑体" w:cs="黑体"/>
          <w:b w:val="0"/>
          <w:bCs w:val="0"/>
          <w:color w:val="auto"/>
          <w:kern w:val="21"/>
          <w:sz w:val="32"/>
          <w:szCs w:val="32"/>
        </w:rPr>
        <w:t>民政局）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七</w:t>
      </w:r>
      <w:r>
        <w:rPr>
          <w:rFonts w:hint="eastAsia" w:ascii="楷体_GB2312" w:hAnsi="楷体_GB2312" w:eastAsia="楷体_GB2312" w:cs="楷体_GB2312"/>
          <w:color w:val="auto"/>
          <w:kern w:val="21"/>
          <w:sz w:val="32"/>
          <w:szCs w:val="32"/>
        </w:rPr>
        <w:t>）强化失能老年人照护服务和保障体系。</w:t>
      </w:r>
      <w:r>
        <w:rPr>
          <w:rFonts w:hint="eastAsia" w:ascii="仿宋_GB2312" w:hAnsi="仿宋_GB2312" w:eastAsia="仿宋_GB2312" w:cs="仿宋_GB2312"/>
          <w:color w:val="auto"/>
          <w:kern w:val="21"/>
          <w:sz w:val="32"/>
          <w:szCs w:val="32"/>
        </w:rPr>
        <w:t>按照实施国家基本公共卫生服务项目的有关要求，开展失能老年人健康评估与健康服务。</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鼓励有条件的基层医疗机构及医养结合机构为失能老年人提供长期照护服务。</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仿宋_GB2312" w:hAnsi="仿宋_GB2312" w:eastAsia="仿宋_GB2312" w:cs="仿宋_GB2312"/>
          <w:color w:val="auto"/>
          <w:kern w:val="21"/>
          <w:sz w:val="32"/>
          <w:szCs w:val="32"/>
        </w:rPr>
        <w:t>探索建立“互联网</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照护服务”模式，发展家庭养老床位和护理型养老床位，方便失能老年人照护。</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仿宋_GB2312" w:hAnsi="仿宋_GB2312" w:eastAsia="仿宋_GB2312" w:cs="仿宋_GB2312"/>
          <w:color w:val="auto"/>
          <w:kern w:val="21"/>
          <w:sz w:val="32"/>
          <w:szCs w:val="32"/>
        </w:rPr>
        <w:t>积极争取长期护理保险试点，建立健全多元筹资机制、创新管理和服务机制，完善科学合理的待遇支付政策。</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区民政局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仿宋_GB2312" w:hAnsi="仿宋_GB2312" w:eastAsia="仿宋_GB2312" w:cs="仿宋_GB2312"/>
          <w:color w:val="auto"/>
          <w:kern w:val="21"/>
          <w:sz w:val="32"/>
          <w:szCs w:val="32"/>
        </w:rPr>
        <w:t>鼓励依托基层医疗机构以及具备提供长期照护服务能力的养老机构发展社区嵌入式长期照护服务。</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八</w:t>
      </w:r>
      <w:r>
        <w:rPr>
          <w:rFonts w:hint="eastAsia" w:ascii="楷体_GB2312" w:hAnsi="楷体_GB2312" w:eastAsia="楷体_GB2312" w:cs="楷体_GB2312"/>
          <w:color w:val="auto"/>
          <w:kern w:val="21"/>
          <w:sz w:val="32"/>
          <w:szCs w:val="32"/>
        </w:rPr>
        <w:t>）深入推进医养结合。</w:t>
      </w:r>
      <w:r>
        <w:rPr>
          <w:rFonts w:hint="eastAsia" w:ascii="仿宋_GB2312" w:hAnsi="仿宋_GB2312" w:eastAsia="仿宋_GB2312" w:cs="仿宋_GB2312"/>
          <w:color w:val="auto"/>
          <w:kern w:val="21"/>
          <w:sz w:val="32"/>
          <w:szCs w:val="32"/>
        </w:rPr>
        <w:t>强化医疗卫生健康与养老服务衔接，引导医疗卫生机构与养老机构开展签约合作。</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仿宋_GB2312" w:hAnsi="仿宋_GB2312" w:eastAsia="仿宋_GB2312" w:cs="仿宋_GB2312"/>
          <w:color w:val="auto"/>
          <w:kern w:val="21"/>
          <w:sz w:val="32"/>
          <w:szCs w:val="32"/>
        </w:rPr>
        <w:t>鼓励资源利用率低的二级及以下医疗机构转型，开展康复、护理以及医养结合服务。</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仿宋" w:hAnsi="仿宋" w:eastAsia="仿宋" w:cs="仿宋"/>
          <w:spacing w:val="0"/>
          <w:sz w:val="32"/>
          <w:szCs w:val="32"/>
          <w:lang w:val="en-US" w:eastAsia="zh-CN"/>
        </w:rPr>
        <w:t>2025</w:t>
      </w:r>
      <w:r>
        <w:rPr>
          <w:rFonts w:hint="eastAsia" w:ascii="仿宋_GB2312" w:hAnsi="仿宋_GB2312" w:eastAsia="仿宋_GB2312" w:cs="仿宋_GB2312"/>
          <w:color w:val="auto"/>
          <w:kern w:val="21"/>
          <w:sz w:val="32"/>
          <w:szCs w:val="32"/>
        </w:rPr>
        <w:t>年年底前，有</w:t>
      </w:r>
      <w:r>
        <w:rPr>
          <w:rFonts w:hint="eastAsia" w:ascii="仿宋" w:hAnsi="仿宋" w:eastAsia="仿宋" w:cs="仿宋"/>
          <w:spacing w:val="0"/>
          <w:sz w:val="32"/>
          <w:szCs w:val="32"/>
          <w:lang w:val="en-US" w:eastAsia="zh-CN"/>
        </w:rPr>
        <w:t>1</w:t>
      </w:r>
      <w:r>
        <w:rPr>
          <w:rFonts w:hint="eastAsia" w:ascii="仿宋_GB2312" w:hAnsi="仿宋_GB2312" w:eastAsia="仿宋_GB2312" w:cs="仿宋_GB2312"/>
          <w:color w:val="auto"/>
          <w:kern w:val="21"/>
          <w:sz w:val="32"/>
          <w:szCs w:val="32"/>
        </w:rPr>
        <w:t>所以上具有医养结合功能的</w:t>
      </w:r>
      <w:r>
        <w:rPr>
          <w:rFonts w:hint="eastAsia" w:ascii="仿宋_GB2312" w:hAnsi="仿宋_GB2312" w:eastAsia="仿宋_GB2312" w:cs="仿宋_GB2312"/>
          <w:color w:val="auto"/>
          <w:kern w:val="21"/>
          <w:sz w:val="32"/>
          <w:szCs w:val="32"/>
          <w:lang w:eastAsia="zh-CN"/>
        </w:rPr>
        <w:t>区</w:t>
      </w:r>
      <w:r>
        <w:rPr>
          <w:rFonts w:hint="eastAsia" w:ascii="仿宋_GB2312" w:hAnsi="仿宋_GB2312" w:eastAsia="仿宋_GB2312" w:cs="仿宋_GB2312"/>
          <w:color w:val="auto"/>
          <w:kern w:val="21"/>
          <w:sz w:val="32"/>
          <w:szCs w:val="32"/>
        </w:rPr>
        <w:t>级特困人员供养服务机构。</w:t>
      </w:r>
      <w:r>
        <w:rPr>
          <w:rFonts w:hint="eastAsia" w:ascii="仿宋_GB2312" w:hAnsi="仿宋_GB2312" w:eastAsia="仿宋_GB2312" w:cs="仿宋_GB2312"/>
          <w:color w:val="auto"/>
          <w:kern w:val="21"/>
          <w:sz w:val="32"/>
          <w:szCs w:val="32"/>
          <w:lang w:eastAsia="zh-CN"/>
        </w:rPr>
        <w:t>争取落实“公建民营”模式，整合资源共建社会福利中心。</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仿宋_GB2312" w:hAnsi="仿宋_GB2312" w:eastAsia="仿宋_GB2312" w:cs="仿宋_GB2312"/>
          <w:color w:val="auto"/>
          <w:kern w:val="21"/>
          <w:sz w:val="32"/>
          <w:szCs w:val="32"/>
        </w:rPr>
        <w:t>开展失能老人家庭照护者技能培训，对符合领取职业技能培训补贴条件的人员，按规定给予职业培训补贴。</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人社局、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仿宋_GB2312" w:hAnsi="仿宋_GB2312" w:eastAsia="仿宋_GB2312" w:cs="仿宋_GB2312"/>
          <w:strike w:val="0"/>
          <w:dstrike w:val="0"/>
          <w:color w:val="auto"/>
          <w:kern w:val="21"/>
          <w:sz w:val="32"/>
          <w:szCs w:val="32"/>
          <w:highlight w:val="none"/>
        </w:rPr>
        <w:t>鼓励医养结合机构吸纳下岗失业人员、农村剩余劳动力等就业，符合条件的，按规定</w:t>
      </w:r>
      <w:r>
        <w:rPr>
          <w:rFonts w:hint="eastAsia" w:ascii="仿宋_GB2312" w:hAnsi="仿宋_GB2312" w:eastAsia="仿宋_GB2312" w:cs="仿宋_GB2312"/>
          <w:strike w:val="0"/>
          <w:dstrike w:val="0"/>
          <w:color w:val="auto"/>
          <w:kern w:val="21"/>
          <w:sz w:val="32"/>
          <w:szCs w:val="32"/>
          <w:highlight w:val="none"/>
          <w:lang w:eastAsia="zh-CN"/>
        </w:rPr>
        <w:t>缴纳社保</w:t>
      </w:r>
      <w:r>
        <w:rPr>
          <w:rFonts w:hint="eastAsia" w:ascii="仿宋_GB2312" w:hAnsi="仿宋_GB2312" w:eastAsia="仿宋_GB2312" w:cs="仿宋_GB2312"/>
          <w:b w:val="0"/>
          <w:bCs w:val="0"/>
          <w:strike w:val="0"/>
          <w:dstrike w:val="0"/>
          <w:color w:val="auto"/>
          <w:kern w:val="21"/>
          <w:sz w:val="32"/>
          <w:szCs w:val="32"/>
          <w:highlight w:val="none"/>
        </w:rPr>
        <w:t>。</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人社局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仿宋_GB2312" w:hAnsi="仿宋_GB2312" w:eastAsia="仿宋_GB2312" w:cs="仿宋_GB2312"/>
          <w:color w:val="auto"/>
          <w:kern w:val="21"/>
          <w:sz w:val="32"/>
          <w:szCs w:val="32"/>
        </w:rPr>
        <w:t>加强医养结合服务信息化建设，探索建立覆盖社区、居家、机构间的智慧服务网络，推动老年人的健康和养老信息共享。</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政数局）</w:t>
      </w:r>
      <w:r>
        <w:rPr>
          <w:rFonts w:hint="eastAsia" w:ascii="仿宋_GB2312" w:hAnsi="仿宋_GB2312" w:eastAsia="仿宋_GB2312" w:cs="仿宋_GB2312"/>
          <w:color w:val="auto"/>
          <w:kern w:val="21"/>
          <w:sz w:val="32"/>
          <w:szCs w:val="32"/>
        </w:rPr>
        <w:t>按照“谁审批、谁监管”的原则，建立以卫生健康部门与民政部门为主的医养结合工作沟通协调机制和质量监管机制，及时解决推进医养结合工作中遇到的问题。积极探索医养结合机构养老床位和医疗床位按需规范转换机制。鼓励医疗机构、医养结合机构和具备条件</w:t>
      </w:r>
      <w:r>
        <w:rPr>
          <w:rFonts w:hint="eastAsia" w:ascii="仿宋_GB2312" w:hAnsi="仿宋_GB2312" w:eastAsia="仿宋_GB2312" w:cs="仿宋_GB2312"/>
          <w:color w:val="auto"/>
          <w:kern w:val="21"/>
          <w:sz w:val="32"/>
          <w:szCs w:val="32"/>
          <w:lang w:eastAsia="zh-CN"/>
        </w:rPr>
        <w:t>的</w:t>
      </w:r>
      <w:r>
        <w:rPr>
          <w:rFonts w:hint="eastAsia" w:ascii="仿宋_GB2312" w:hAnsi="仿宋_GB2312" w:eastAsia="仿宋_GB2312" w:cs="仿宋_GB2312"/>
          <w:color w:val="auto"/>
          <w:kern w:val="21"/>
          <w:sz w:val="32"/>
          <w:szCs w:val="32"/>
        </w:rPr>
        <w:t>养老机构承接需要长期照护的失能老年人，探索建立护理转移机制。</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四、促进老年人社会参与</w:t>
      </w:r>
    </w:p>
    <w:p>
      <w:pPr>
        <w:pStyle w:val="17"/>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lang w:val="en-US" w:eastAsia="zh-CN" w:bidi="ar-SA"/>
        </w:rPr>
        <w:t>（九）扩大老年教育资源供给。</w:t>
      </w:r>
      <w:r>
        <w:rPr>
          <w:rFonts w:hint="eastAsia" w:ascii="仿宋_GB2312" w:hAnsi="仿宋_GB2312" w:eastAsia="仿宋_GB2312" w:cs="仿宋_GB2312"/>
          <w:color w:val="auto"/>
          <w:kern w:val="21"/>
          <w:sz w:val="32"/>
          <w:szCs w:val="32"/>
        </w:rPr>
        <w:t>将老年教育纳入终身教育体系，推动老年教育资源开放共享。</w:t>
      </w:r>
      <w:r>
        <w:rPr>
          <w:rFonts w:hint="eastAsia" w:ascii="黑体" w:hAnsi="黑体" w:eastAsia="黑体" w:cs="黑体"/>
          <w:b w:val="0"/>
          <w:bCs w:val="0"/>
          <w:color w:val="auto"/>
          <w:kern w:val="21"/>
          <w:sz w:val="32"/>
          <w:szCs w:val="32"/>
          <w:lang w:val="en-US" w:eastAsia="zh-CN" w:bidi="ar-SA"/>
        </w:rPr>
        <w:t>（责任单位：区教育局）</w:t>
      </w:r>
      <w:r>
        <w:rPr>
          <w:rFonts w:hint="eastAsia" w:ascii="仿宋_GB2312" w:hAnsi="仿宋_GB2312" w:eastAsia="仿宋_GB2312" w:cs="仿宋_GB2312"/>
          <w:color w:val="auto"/>
          <w:kern w:val="21"/>
          <w:sz w:val="32"/>
          <w:szCs w:val="32"/>
        </w:rPr>
        <w:t>支持社会力量参与老年教育服务机构建设，扩大老年教育资源供给。充分发挥老年开放大学辐射作用</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向基层拓展和延伸，创办街道（乡）、社区（村）基层教学点。</w:t>
      </w:r>
      <w:r>
        <w:rPr>
          <w:rFonts w:hint="eastAsia" w:ascii="黑体" w:hAnsi="黑体" w:eastAsia="黑体" w:cs="黑体"/>
          <w:b w:val="0"/>
          <w:bCs w:val="0"/>
          <w:color w:val="auto"/>
          <w:kern w:val="21"/>
          <w:sz w:val="32"/>
          <w:szCs w:val="32"/>
          <w:lang w:val="en-US" w:eastAsia="zh-CN" w:bidi="ar-SA"/>
        </w:rPr>
        <w:t>（责任单位：区教育局、区委组织部）</w:t>
      </w:r>
      <w:r>
        <w:rPr>
          <w:rFonts w:hint="eastAsia" w:ascii="仿宋_GB2312" w:hAnsi="仿宋_GB2312" w:eastAsia="仿宋_GB2312" w:cs="仿宋_GB2312"/>
          <w:color w:val="auto"/>
          <w:kern w:val="21"/>
          <w:sz w:val="32"/>
          <w:szCs w:val="32"/>
          <w:lang w:eastAsia="zh-CN"/>
        </w:rPr>
        <w:t>探索建立</w:t>
      </w:r>
      <w:r>
        <w:rPr>
          <w:rFonts w:hint="eastAsia" w:ascii="仿宋_GB2312" w:hAnsi="仿宋_GB2312" w:eastAsia="仿宋_GB2312" w:cs="仿宋_GB2312"/>
          <w:color w:val="auto"/>
          <w:kern w:val="21"/>
          <w:sz w:val="32"/>
          <w:szCs w:val="32"/>
        </w:rPr>
        <w:t>“互联网</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老年教育”服务模式，</w:t>
      </w:r>
      <w:r>
        <w:rPr>
          <w:rFonts w:hint="eastAsia" w:ascii="仿宋_GB2312" w:hAnsi="仿宋_GB2312" w:eastAsia="仿宋_GB2312" w:cs="仿宋_GB2312"/>
          <w:color w:val="auto"/>
          <w:kern w:val="21"/>
          <w:sz w:val="32"/>
          <w:szCs w:val="32"/>
          <w:lang w:eastAsia="zh-CN"/>
        </w:rPr>
        <w:t>发展在线远程教育，</w:t>
      </w:r>
      <w:r>
        <w:rPr>
          <w:rFonts w:hint="eastAsia" w:ascii="仿宋_GB2312" w:hAnsi="仿宋_GB2312" w:eastAsia="仿宋_GB2312" w:cs="仿宋_GB2312"/>
          <w:color w:val="auto"/>
          <w:kern w:val="21"/>
          <w:sz w:val="32"/>
          <w:szCs w:val="32"/>
        </w:rPr>
        <w:t>实现优质课程和教学资源共享。</w:t>
      </w:r>
      <w:r>
        <w:rPr>
          <w:rFonts w:hint="eastAsia" w:ascii="黑体" w:hAnsi="黑体" w:eastAsia="黑体" w:cs="黑体"/>
          <w:b w:val="0"/>
          <w:bCs w:val="0"/>
          <w:color w:val="auto"/>
          <w:kern w:val="21"/>
          <w:sz w:val="32"/>
          <w:szCs w:val="32"/>
          <w:lang w:val="en-US" w:eastAsia="zh-CN" w:bidi="ar-SA"/>
        </w:rPr>
        <w:t>（责任单位：区教育局）</w:t>
      </w:r>
    </w:p>
    <w:p>
      <w:pPr>
        <w:pStyle w:val="17"/>
        <w:keepNext w:val="0"/>
        <w:keepLines w:val="0"/>
        <w:pageBreakBefore w:val="0"/>
        <w:widowControl w:val="0"/>
        <w:kinsoku/>
        <w:wordWrap/>
        <w:overflowPunct/>
        <w:topLinePunct w:val="0"/>
        <w:autoSpaceDE/>
        <w:autoSpaceDN/>
        <w:bidi w:val="0"/>
        <w:adjustRightInd w:val="0"/>
        <w:snapToGrid/>
        <w:spacing w:before="0" w:beforeLines="0" w:beforeAutospacing="0" w:after="0" w:afterLines="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lang w:val="en-US" w:eastAsia="zh-CN" w:bidi="ar-SA"/>
        </w:rPr>
        <w:t>（十）提升老年文化体育服务质量。</w:t>
      </w:r>
      <w:r>
        <w:rPr>
          <w:rFonts w:hint="eastAsia" w:ascii="仿宋" w:hAnsi="仿宋" w:eastAsia="仿宋" w:cs="仿宋"/>
          <w:color w:val="auto"/>
          <w:kern w:val="21"/>
          <w:sz w:val="32"/>
          <w:szCs w:val="32"/>
          <w:lang w:val="en-US" w:eastAsia="zh-CN" w:bidi="ar-SA"/>
        </w:rPr>
        <w:t>全区各相关部门要</w:t>
      </w:r>
      <w:r>
        <w:rPr>
          <w:rFonts w:hint="eastAsia" w:ascii="仿宋_GB2312" w:hAnsi="仿宋_GB2312" w:eastAsia="仿宋_GB2312" w:cs="仿宋_GB2312"/>
          <w:color w:val="auto"/>
          <w:kern w:val="21"/>
          <w:sz w:val="32"/>
          <w:szCs w:val="32"/>
        </w:rPr>
        <w:t>支持街道、社区通过盘活整合空置房、公园、商场等资源，积极为老年人提供文化体育活动场所。</w:t>
      </w:r>
      <w:r>
        <w:rPr>
          <w:rFonts w:hint="eastAsia" w:ascii="黑体" w:hAnsi="黑体" w:eastAsia="黑体" w:cs="黑体"/>
          <w:b w:val="0"/>
          <w:bCs w:val="0"/>
          <w:color w:val="auto"/>
          <w:kern w:val="21"/>
          <w:sz w:val="32"/>
          <w:szCs w:val="32"/>
          <w:lang w:val="en-US" w:eastAsia="zh-CN" w:bidi="ar-SA"/>
        </w:rPr>
        <w:t>（责任单位：区文旅局、区商务局）</w:t>
      </w:r>
      <w:r>
        <w:rPr>
          <w:rFonts w:hint="eastAsia" w:ascii="仿宋_GB2312" w:hAnsi="仿宋_GB2312" w:eastAsia="仿宋_GB2312" w:cs="仿宋_GB2312"/>
          <w:color w:val="auto"/>
          <w:kern w:val="21"/>
          <w:sz w:val="32"/>
          <w:szCs w:val="32"/>
        </w:rPr>
        <w:t>加强老年活动组织建设，扶持组建基层老年人文化体育活动专业团队，培育优秀活动骨干，提高老年人文体活动参与率和质量。</w:t>
      </w:r>
      <w:r>
        <w:rPr>
          <w:rFonts w:hint="eastAsia" w:ascii="仿宋_GB2312" w:hAnsi="仿宋_GB2312" w:eastAsia="仿宋_GB2312" w:cs="仿宋_GB2312"/>
          <w:color w:val="auto"/>
          <w:kern w:val="21"/>
          <w:sz w:val="32"/>
          <w:szCs w:val="32"/>
          <w:lang w:eastAsia="zh-CN"/>
        </w:rPr>
        <w:t>支持各类</w:t>
      </w:r>
      <w:r>
        <w:rPr>
          <w:rFonts w:hint="eastAsia" w:ascii="仿宋_GB2312" w:hAnsi="仿宋_GB2312" w:eastAsia="仿宋_GB2312" w:cs="仿宋_GB2312"/>
          <w:color w:val="auto"/>
          <w:kern w:val="21"/>
          <w:sz w:val="32"/>
          <w:szCs w:val="32"/>
        </w:rPr>
        <w:t>公共文化场馆开展老年人主题文化活动，举办有益老年人身心健康的讲座、培训等活动。充分发挥四平红色旅游</w:t>
      </w:r>
      <w:r>
        <w:rPr>
          <w:rFonts w:hint="eastAsia" w:ascii="仿宋_GB2312" w:hAnsi="仿宋_GB2312" w:eastAsia="仿宋_GB2312" w:cs="仿宋_GB2312"/>
          <w:color w:val="auto"/>
          <w:kern w:val="21"/>
          <w:sz w:val="32"/>
          <w:szCs w:val="32"/>
          <w:lang w:eastAsia="zh-CN"/>
        </w:rPr>
        <w:t>资源</w:t>
      </w:r>
      <w:r>
        <w:rPr>
          <w:rFonts w:hint="eastAsia" w:ascii="仿宋_GB2312" w:hAnsi="仿宋_GB2312" w:eastAsia="仿宋_GB2312" w:cs="仿宋_GB2312"/>
          <w:color w:val="auto"/>
          <w:kern w:val="21"/>
          <w:sz w:val="32"/>
          <w:szCs w:val="32"/>
        </w:rPr>
        <w:t>优势，鼓励旅游企业开发多层次、多样化的老年人旅游产品，提升老年人旅游服务质量和水平。</w:t>
      </w:r>
      <w:r>
        <w:rPr>
          <w:rFonts w:hint="eastAsia" w:ascii="黑体" w:hAnsi="黑体" w:eastAsia="黑体" w:cs="黑体"/>
          <w:b w:val="0"/>
          <w:bCs w:val="0"/>
          <w:color w:val="auto"/>
          <w:kern w:val="21"/>
          <w:sz w:val="32"/>
          <w:szCs w:val="32"/>
          <w:lang w:val="en-US" w:eastAsia="zh-CN" w:bidi="ar-SA"/>
        </w:rPr>
        <w:t>（责任单位：区文旅局）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（十</w:t>
      </w:r>
      <w:r>
        <w:rPr>
          <w:rFonts w:hint="eastAsia" w:ascii="楷体_GB2312" w:hAnsi="楷体_GB2312" w:eastAsia="楷体_GB2312" w:cs="楷体_GB2312"/>
          <w:color w:val="auto"/>
          <w:kern w:val="21"/>
          <w:sz w:val="32"/>
          <w:szCs w:val="32"/>
          <w:lang w:eastAsia="zh-CN"/>
        </w:rPr>
        <w:t>一</w:t>
      </w:r>
      <w:r>
        <w:rPr>
          <w:rFonts w:hint="eastAsia" w:ascii="楷体_GB2312" w:hAnsi="楷体_GB2312" w:eastAsia="楷体_GB2312" w:cs="楷体_GB2312"/>
          <w:color w:val="auto"/>
          <w:kern w:val="21"/>
          <w:sz w:val="32"/>
          <w:szCs w:val="32"/>
        </w:rPr>
        <w:t>）鼓励老年人继续发挥作用。</w:t>
      </w:r>
      <w:r>
        <w:rPr>
          <w:rFonts w:hint="eastAsia" w:ascii="仿宋_GB2312" w:hAnsi="仿宋_GB2312" w:eastAsia="仿宋_GB2312" w:cs="仿宋_GB2312"/>
          <w:color w:val="auto"/>
          <w:kern w:val="21"/>
          <w:sz w:val="32"/>
          <w:szCs w:val="32"/>
        </w:rPr>
        <w:t>倡导积极老龄化的思想观念，引导</w:t>
      </w:r>
      <w:r>
        <w:rPr>
          <w:rFonts w:hint="eastAsia" w:ascii="仿宋_GB2312" w:hAnsi="仿宋_GB2312" w:eastAsia="仿宋_GB2312" w:cs="仿宋_GB2312"/>
          <w:color w:val="auto"/>
          <w:kern w:val="21"/>
          <w:sz w:val="32"/>
          <w:szCs w:val="32"/>
          <w:lang w:eastAsia="zh-CN"/>
        </w:rPr>
        <w:t>老年人</w:t>
      </w:r>
      <w:r>
        <w:rPr>
          <w:rFonts w:hint="eastAsia" w:ascii="仿宋_GB2312" w:hAnsi="仿宋_GB2312" w:eastAsia="仿宋_GB2312" w:cs="仿宋_GB2312"/>
          <w:color w:val="auto"/>
          <w:kern w:val="21"/>
          <w:sz w:val="32"/>
          <w:szCs w:val="32"/>
        </w:rPr>
        <w:t>根据自身情况积极参与家庭、社区和社会发展，把老有所为同老有所养结合起来，完善就业、志愿服务、社区治理等政策措施，充分发挥低龄老年人作用。</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人社局、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委组织部、</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委宣传部）</w:t>
      </w:r>
      <w:r>
        <w:rPr>
          <w:rFonts w:hint="eastAsia" w:ascii="仿宋_GB2312" w:hAnsi="仿宋_GB2312" w:eastAsia="仿宋_GB2312" w:cs="仿宋_GB2312"/>
          <w:color w:val="auto"/>
          <w:kern w:val="21"/>
          <w:sz w:val="32"/>
          <w:szCs w:val="32"/>
        </w:rPr>
        <w:t>培育壮大老年社会组织和为老服务社会组织，支持老年人广泛开展自助、互助和志愿活动。</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委组织部、</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b w:val="0"/>
          <w:bCs w:val="0"/>
          <w:strike w:val="0"/>
          <w:dstrike w:val="0"/>
          <w:color w:val="auto"/>
          <w:kern w:val="21"/>
          <w:sz w:val="32"/>
          <w:szCs w:val="32"/>
          <w:highlight w:val="none"/>
        </w:rPr>
        <w:t>积极开发老龄人力资源，鼓励建立老年人才信息库，针对老年人就业需求和特点，为有劳动意愿的老年人提供就业、职业介绍、政策咨询等水平，探索适合老年人的灵活就业模式。</w:t>
      </w:r>
      <w:r>
        <w:rPr>
          <w:rFonts w:hint="eastAsia" w:ascii="黑体" w:hAnsi="黑体" w:eastAsia="黑体" w:cs="黑体"/>
          <w:b w:val="0"/>
          <w:bCs w:val="0"/>
          <w:strike w:val="0"/>
          <w:dstrike w:val="0"/>
          <w:color w:val="auto"/>
          <w:kern w:val="21"/>
          <w:sz w:val="32"/>
          <w:szCs w:val="32"/>
          <w:highlight w:val="none"/>
        </w:rPr>
        <w:t>（责任单位：</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人社局）</w:t>
      </w:r>
      <w:r>
        <w:rPr>
          <w:rFonts w:hint="eastAsia" w:ascii="仿宋_GB2312" w:hAnsi="仿宋_GB2312" w:eastAsia="仿宋_GB2312" w:cs="仿宋_GB2312"/>
          <w:strike w:val="0"/>
          <w:dstrike w:val="0"/>
          <w:color w:val="auto"/>
          <w:kern w:val="21"/>
          <w:sz w:val="32"/>
          <w:szCs w:val="32"/>
          <w:highlight w:val="none"/>
        </w:rPr>
        <w:t>加强离退休干部职工基层党组织建设，鼓励老党员将组织关系及时转入经常居住地，做好老年人精神关爱和思想引导工作。</w:t>
      </w:r>
      <w:r>
        <w:rPr>
          <w:rFonts w:hint="eastAsia" w:ascii="黑体" w:hAnsi="黑体" w:eastAsia="黑体" w:cs="黑体"/>
          <w:b w:val="0"/>
          <w:bCs w:val="0"/>
          <w:strike w:val="0"/>
          <w:dstrike w:val="0"/>
          <w:color w:val="auto"/>
          <w:kern w:val="21"/>
          <w:sz w:val="32"/>
          <w:szCs w:val="32"/>
          <w:highlight w:val="none"/>
        </w:rPr>
        <w:t>（责任单位：</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委组织部）</w:t>
      </w:r>
      <w:r>
        <w:rPr>
          <w:rFonts w:hint="eastAsia" w:ascii="仿宋_GB2312" w:hAnsi="仿宋_GB2312" w:eastAsia="仿宋_GB2312" w:cs="仿宋_GB2312"/>
          <w:color w:val="auto"/>
          <w:kern w:val="21"/>
          <w:sz w:val="32"/>
          <w:szCs w:val="32"/>
        </w:rPr>
        <w:t>深入开展“银龄行动”，引导老年人以志愿服务形式积极参与基层民主监督、移风易俗、民事调解、文教卫生等活动。</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人社局、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文旅局、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区教育局、区</w:t>
      </w:r>
      <w:r>
        <w:rPr>
          <w:rFonts w:hint="eastAsia" w:ascii="黑体" w:hAnsi="黑体" w:eastAsia="黑体" w:cs="黑体"/>
          <w:b w:val="0"/>
          <w:bCs w:val="0"/>
          <w:color w:val="auto"/>
          <w:kern w:val="21"/>
          <w:sz w:val="32"/>
          <w:szCs w:val="32"/>
        </w:rPr>
        <w:t>司法局）</w:t>
      </w:r>
      <w:r>
        <w:rPr>
          <w:rFonts w:hint="eastAsia" w:ascii="仿宋_GB2312" w:hAnsi="仿宋_GB2312" w:eastAsia="仿宋_GB2312" w:cs="仿宋_GB2312"/>
          <w:color w:val="auto"/>
          <w:kern w:val="21"/>
          <w:sz w:val="32"/>
          <w:szCs w:val="32"/>
        </w:rPr>
        <w:t>持续开展家庭家教家风走基层活动，充分发挥“五老”（老干部、老战士、老专家、老教师、老劳模）人员作用，依托城乡社区妇女之家等阵地，开展家庭教育指导等活动，发挥家庭家教家风建设在基层治理中的重要作用。</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委宣传部、</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妇联、</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关工委）</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五、着力构建老年友好型社会</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（十</w:t>
      </w:r>
      <w:r>
        <w:rPr>
          <w:rFonts w:hint="eastAsia" w:ascii="楷体_GB2312" w:hAnsi="楷体_GB2312" w:eastAsia="楷体_GB2312" w:cs="楷体_GB2312"/>
          <w:color w:val="auto"/>
          <w:kern w:val="21"/>
          <w:sz w:val="32"/>
          <w:szCs w:val="32"/>
          <w:lang w:eastAsia="zh-CN"/>
        </w:rPr>
        <w:t>二</w:t>
      </w:r>
      <w:r>
        <w:rPr>
          <w:rFonts w:hint="eastAsia" w:ascii="楷体_GB2312" w:hAnsi="楷体_GB2312" w:eastAsia="楷体_GB2312" w:cs="楷体_GB2312"/>
          <w:color w:val="auto"/>
          <w:kern w:val="21"/>
          <w:sz w:val="32"/>
          <w:szCs w:val="32"/>
        </w:rPr>
        <w:t>）加强对老年人的权益保障。</w:t>
      </w:r>
      <w:r>
        <w:rPr>
          <w:rFonts w:hint="eastAsia" w:ascii="仿宋" w:hAnsi="仿宋" w:eastAsia="仿宋" w:cs="仿宋"/>
          <w:color w:val="auto"/>
          <w:kern w:val="21"/>
          <w:sz w:val="32"/>
          <w:szCs w:val="32"/>
          <w:highlight w:val="none"/>
          <w:lang w:val="en-US" w:eastAsia="zh-CN"/>
        </w:rPr>
        <w:t>落实</w:t>
      </w:r>
      <w:r>
        <w:rPr>
          <w:rFonts w:hint="eastAsia" w:ascii="仿宋_GB2312" w:hAnsi="仿宋_GB2312" w:eastAsia="仿宋_GB2312" w:cs="仿宋_GB2312"/>
          <w:strike w:val="0"/>
          <w:dstrike w:val="0"/>
          <w:color w:val="auto"/>
          <w:kern w:val="21"/>
          <w:sz w:val="32"/>
          <w:szCs w:val="32"/>
          <w:highlight w:val="none"/>
          <w:lang w:eastAsia="zh-CN"/>
        </w:rPr>
        <w:t>涉及</w:t>
      </w:r>
      <w:r>
        <w:rPr>
          <w:rFonts w:hint="eastAsia" w:ascii="仿宋_GB2312" w:hAnsi="仿宋_GB2312" w:eastAsia="仿宋_GB2312" w:cs="仿宋_GB2312"/>
          <w:strike w:val="0"/>
          <w:dstrike w:val="0"/>
          <w:color w:val="auto"/>
          <w:kern w:val="21"/>
          <w:sz w:val="32"/>
          <w:szCs w:val="32"/>
          <w:highlight w:val="none"/>
        </w:rPr>
        <w:t>老年人权益保障的相关政策法规，建立</w:t>
      </w:r>
      <w:r>
        <w:rPr>
          <w:rFonts w:hint="eastAsia" w:ascii="仿宋_GB2312" w:hAnsi="仿宋_GB2312" w:eastAsia="仿宋_GB2312" w:cs="仿宋_GB2312"/>
          <w:strike w:val="0"/>
          <w:dstrike w:val="0"/>
          <w:color w:val="auto"/>
          <w:kern w:val="21"/>
          <w:sz w:val="32"/>
          <w:szCs w:val="32"/>
          <w:highlight w:val="none"/>
          <w:lang w:eastAsia="zh-CN"/>
        </w:rPr>
        <w:t>健全</w:t>
      </w:r>
      <w:r>
        <w:rPr>
          <w:rFonts w:hint="eastAsia" w:ascii="仿宋_GB2312" w:hAnsi="仿宋_GB2312" w:eastAsia="仿宋_GB2312" w:cs="仿宋_GB2312"/>
          <w:strike w:val="0"/>
          <w:dstrike w:val="0"/>
          <w:color w:val="auto"/>
          <w:kern w:val="21"/>
          <w:sz w:val="32"/>
          <w:szCs w:val="32"/>
          <w:highlight w:val="none"/>
        </w:rPr>
        <w:t>涉老侵权风险预警与防范机制。</w:t>
      </w:r>
      <w:r>
        <w:rPr>
          <w:rFonts w:hint="eastAsia" w:ascii="黑体" w:hAnsi="黑体" w:eastAsia="黑体" w:cs="黑体"/>
          <w:b w:val="0"/>
          <w:bCs w:val="0"/>
          <w:strike w:val="0"/>
          <w:dstrike w:val="0"/>
          <w:color w:val="auto"/>
          <w:kern w:val="21"/>
          <w:sz w:val="32"/>
          <w:szCs w:val="32"/>
          <w:highlight w:val="none"/>
        </w:rPr>
        <w:t>（责任单位：</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司法局</w:t>
      </w:r>
      <w:r>
        <w:rPr>
          <w:rFonts w:hint="eastAsia" w:ascii="黑体" w:hAnsi="黑体" w:eastAsia="黑体" w:cs="黑体"/>
          <w:b w:val="0"/>
          <w:bCs w:val="0"/>
          <w:strike w:val="0"/>
          <w:dstrike w:val="0"/>
          <w:color w:val="auto"/>
          <w:kern w:val="21"/>
          <w:sz w:val="32"/>
          <w:szCs w:val="32"/>
          <w:highlight w:val="none"/>
          <w:lang w:eastAsia="zh-CN"/>
        </w:rPr>
        <w:t>、区法院</w:t>
      </w:r>
      <w:r>
        <w:rPr>
          <w:rFonts w:hint="eastAsia" w:ascii="黑体" w:hAnsi="黑体" w:eastAsia="黑体" w:cs="黑体"/>
          <w:b w:val="0"/>
          <w:bCs w:val="0"/>
          <w:strike w:val="0"/>
          <w:dstrike w:val="0"/>
          <w:color w:val="auto"/>
          <w:kern w:val="21"/>
          <w:sz w:val="32"/>
          <w:szCs w:val="32"/>
          <w:highlight w:val="none"/>
        </w:rPr>
        <w:t>）</w:t>
      </w:r>
      <w:r>
        <w:rPr>
          <w:rFonts w:hint="eastAsia" w:ascii="仿宋_GB2312" w:hAnsi="仿宋_GB2312" w:eastAsia="仿宋_GB2312" w:cs="仿宋_GB2312"/>
          <w:color w:val="auto"/>
          <w:kern w:val="21"/>
          <w:sz w:val="32"/>
          <w:szCs w:val="32"/>
          <w:highlight w:val="none"/>
        </w:rPr>
        <w:t>在婚姻、财产、消费、金融等领域加大对老年人群体的法律支持，拓展公共保护服务内容与范围，将高龄、独居、失能等特殊老年人群体纳入重点保护范围</w:t>
      </w:r>
      <w:r>
        <w:rPr>
          <w:rFonts w:hint="eastAsia" w:ascii="仿宋_GB2312" w:hAnsi="仿宋_GB2312" w:eastAsia="仿宋_GB2312" w:cs="仿宋_GB2312"/>
          <w:color w:val="auto"/>
          <w:kern w:val="21"/>
          <w:sz w:val="32"/>
          <w:szCs w:val="32"/>
          <w:highlight w:val="none"/>
          <w:lang w:eastAsia="zh-CN"/>
        </w:rPr>
        <w:t>。</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司法局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加强老年人权益保障普法宣传，全面提高老年人防范意识和识骗能力，切实维护老年人财产权益。</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司法局、</w:t>
      </w:r>
      <w:r>
        <w:rPr>
          <w:rFonts w:hint="eastAsia" w:ascii="黑体" w:hAnsi="黑体" w:eastAsia="黑体" w:cs="黑体"/>
          <w:b w:val="0"/>
          <w:bCs w:val="0"/>
          <w:color w:val="auto"/>
          <w:kern w:val="21"/>
          <w:sz w:val="32"/>
          <w:szCs w:val="32"/>
          <w:lang w:eastAsia="zh-CN"/>
        </w:rPr>
        <w:t>铁西</w:t>
      </w:r>
      <w:r>
        <w:rPr>
          <w:rFonts w:hint="eastAsia" w:ascii="黑体" w:hAnsi="黑体" w:eastAsia="黑体" w:cs="黑体"/>
          <w:b w:val="0"/>
          <w:bCs w:val="0"/>
          <w:color w:val="auto"/>
          <w:kern w:val="21"/>
          <w:sz w:val="32"/>
          <w:szCs w:val="32"/>
        </w:rPr>
        <w:t>公安</w:t>
      </w:r>
      <w:r>
        <w:rPr>
          <w:rFonts w:hint="eastAsia" w:ascii="黑体" w:hAnsi="黑体" w:eastAsia="黑体" w:cs="黑体"/>
          <w:b w:val="0"/>
          <w:bCs w:val="0"/>
          <w:color w:val="auto"/>
          <w:kern w:val="21"/>
          <w:sz w:val="32"/>
          <w:szCs w:val="32"/>
          <w:lang w:eastAsia="zh-CN"/>
        </w:rPr>
        <w:t>分</w:t>
      </w:r>
      <w:r>
        <w:rPr>
          <w:rFonts w:hint="eastAsia" w:ascii="黑体" w:hAnsi="黑体" w:eastAsia="黑体" w:cs="黑体"/>
          <w:b w:val="0"/>
          <w:bCs w:val="0"/>
          <w:color w:val="auto"/>
          <w:kern w:val="21"/>
          <w:sz w:val="32"/>
          <w:szCs w:val="32"/>
        </w:rPr>
        <w:t>局、</w:t>
      </w:r>
      <w:r>
        <w:rPr>
          <w:rFonts w:hint="eastAsia" w:ascii="黑体" w:hAnsi="黑体" w:eastAsia="黑体" w:cs="黑体"/>
          <w:b w:val="0"/>
          <w:bCs w:val="0"/>
          <w:color w:val="auto"/>
          <w:kern w:val="21"/>
          <w:sz w:val="32"/>
          <w:szCs w:val="32"/>
          <w:lang w:eastAsia="zh-CN"/>
        </w:rPr>
        <w:t>区法院、区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highlight w:val="none"/>
        </w:rPr>
        <w:t>）</w:t>
      </w:r>
      <w:r>
        <w:rPr>
          <w:rFonts w:hint="eastAsia" w:ascii="仿宋" w:hAnsi="仿宋" w:eastAsia="仿宋" w:cs="仿宋"/>
          <w:b w:val="0"/>
          <w:bCs w:val="0"/>
          <w:color w:val="auto"/>
          <w:kern w:val="21"/>
          <w:sz w:val="32"/>
          <w:szCs w:val="32"/>
          <w:highlight w:val="none"/>
          <w:lang w:val="en-US" w:eastAsia="zh-CN"/>
        </w:rPr>
        <w:t>倡导律师事务所、基层法律服务所为老年人减免法律服务费用，为行动不便得老年人提供上门服务。</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司法局）</w:t>
      </w:r>
      <w:r>
        <w:rPr>
          <w:rFonts w:hint="eastAsia" w:ascii="仿宋_GB2312" w:hAnsi="仿宋_GB2312" w:eastAsia="仿宋_GB2312" w:cs="仿宋_GB2312"/>
          <w:b w:val="0"/>
          <w:bCs w:val="0"/>
          <w:i w:val="0"/>
          <w:iCs w:val="0"/>
          <w:strike w:val="0"/>
          <w:dstrike w:val="0"/>
          <w:color w:val="auto"/>
          <w:kern w:val="21"/>
          <w:sz w:val="32"/>
          <w:szCs w:val="32"/>
          <w:highlight w:val="none"/>
          <w:lang w:eastAsia="zh-CN"/>
        </w:rPr>
        <w:t>建立适老型法律援助工作站，方便为老年人提供法律服务。</w:t>
      </w:r>
      <w:r>
        <w:rPr>
          <w:rFonts w:hint="eastAsia" w:ascii="仿宋_GB2312" w:hAnsi="仿宋_GB2312" w:eastAsia="仿宋_GB2312" w:cs="仿宋_GB2312"/>
          <w:color w:val="auto"/>
          <w:kern w:val="21"/>
          <w:sz w:val="32"/>
          <w:szCs w:val="32"/>
          <w:highlight w:val="none"/>
        </w:rPr>
        <w:t>建立适老型诉讼服务机制，方便老年人参与诉讼活动。</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司法</w:t>
      </w:r>
      <w:r>
        <w:rPr>
          <w:rFonts w:hint="eastAsia" w:ascii="黑体" w:hAnsi="黑体" w:eastAsia="黑体" w:cs="黑体"/>
          <w:b w:val="0"/>
          <w:bCs w:val="0"/>
          <w:color w:val="auto"/>
          <w:kern w:val="21"/>
          <w:sz w:val="32"/>
          <w:szCs w:val="32"/>
          <w:highlight w:val="none"/>
          <w:lang w:eastAsia="zh-CN"/>
        </w:rPr>
        <w:t>、</w:t>
      </w:r>
      <w:r>
        <w:rPr>
          <w:rFonts w:hint="eastAsia" w:ascii="黑体" w:hAnsi="黑体" w:eastAsia="黑体" w:cs="黑体"/>
          <w:b w:val="0"/>
          <w:bCs w:val="0"/>
          <w:color w:val="auto"/>
          <w:kern w:val="21"/>
          <w:sz w:val="32"/>
          <w:szCs w:val="32"/>
          <w:highlight w:val="none"/>
          <w:lang w:val="en-US" w:eastAsia="zh-CN"/>
        </w:rPr>
        <w:t>区法院</w:t>
      </w:r>
      <w:r>
        <w:rPr>
          <w:rFonts w:hint="eastAsia" w:ascii="黑体" w:hAnsi="黑体" w:eastAsia="黑体" w:cs="黑体"/>
          <w:b w:val="0"/>
          <w:bCs w:val="0"/>
          <w:color w:val="auto"/>
          <w:kern w:val="21"/>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（十</w:t>
      </w:r>
      <w:r>
        <w:rPr>
          <w:rFonts w:hint="eastAsia" w:ascii="楷体_GB2312" w:hAnsi="楷体_GB2312" w:eastAsia="楷体_GB2312" w:cs="楷体_GB2312"/>
          <w:color w:val="auto"/>
          <w:kern w:val="21"/>
          <w:sz w:val="32"/>
          <w:szCs w:val="32"/>
          <w:lang w:eastAsia="zh-CN"/>
        </w:rPr>
        <w:t>三</w:t>
      </w:r>
      <w:r>
        <w:rPr>
          <w:rFonts w:hint="eastAsia" w:ascii="楷体_GB2312" w:hAnsi="楷体_GB2312" w:eastAsia="楷体_GB2312" w:cs="楷体_GB2312"/>
          <w:color w:val="auto"/>
          <w:kern w:val="21"/>
          <w:sz w:val="32"/>
          <w:szCs w:val="32"/>
        </w:rPr>
        <w:t>）改善老年宜居环境。</w:t>
      </w:r>
      <w:r>
        <w:rPr>
          <w:rFonts w:hint="eastAsia" w:ascii="仿宋_GB2312" w:hAnsi="仿宋_GB2312" w:eastAsia="仿宋_GB2312" w:cs="仿宋_GB2312"/>
          <w:color w:val="auto"/>
          <w:kern w:val="21"/>
          <w:sz w:val="32"/>
          <w:szCs w:val="32"/>
        </w:rPr>
        <w:t>落实无障碍环境建设法规、标准和规范，将无障碍环境建设和适老化改造纳入城市更新、城镇老旧小区改造、农村危房改造、农村人居环境整治提升统筹推进。</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住建局、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农业农村局、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残联</w:t>
      </w:r>
      <w:r>
        <w:rPr>
          <w:rFonts w:hint="eastAsia" w:ascii="黑体" w:hAnsi="黑体" w:eastAsia="黑体" w:cs="黑体"/>
          <w:b w:val="0"/>
          <w:bCs w:val="0"/>
          <w:color w:val="auto"/>
          <w:kern w:val="21"/>
          <w:sz w:val="32"/>
          <w:szCs w:val="32"/>
          <w:lang w:eastAsia="zh-CN"/>
        </w:rPr>
        <w:t>）</w:t>
      </w:r>
      <w:r>
        <w:rPr>
          <w:rFonts w:hint="eastAsia" w:ascii="仿宋_GB2312" w:hAnsi="仿宋_GB2312" w:eastAsia="仿宋_GB2312" w:cs="仿宋_GB2312"/>
          <w:color w:val="auto"/>
          <w:kern w:val="21"/>
          <w:sz w:val="32"/>
          <w:szCs w:val="32"/>
        </w:rPr>
        <w:t>对纳入分散特困供养的高龄、失能、残疾老年人家庭进行居家适老化改造，配备辅助器具和防走失装置等设施</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鼓励有条件的地方</w:t>
      </w:r>
      <w:r>
        <w:rPr>
          <w:rFonts w:hint="eastAsia" w:ascii="仿宋_GB2312" w:hAnsi="仿宋_GB2312" w:eastAsia="仿宋_GB2312" w:cs="仿宋_GB2312"/>
          <w:color w:val="auto"/>
          <w:kern w:val="21"/>
          <w:sz w:val="32"/>
          <w:szCs w:val="32"/>
          <w:lang w:eastAsia="zh-CN"/>
        </w:rPr>
        <w:t>将</w:t>
      </w:r>
      <w:r>
        <w:rPr>
          <w:rFonts w:hint="eastAsia" w:ascii="仿宋_GB2312" w:hAnsi="仿宋_GB2312" w:eastAsia="仿宋_GB2312" w:cs="仿宋_GB2312"/>
          <w:color w:val="auto"/>
          <w:kern w:val="21"/>
          <w:sz w:val="32"/>
          <w:szCs w:val="32"/>
        </w:rPr>
        <w:t>改造对象范围</w:t>
      </w:r>
      <w:r>
        <w:rPr>
          <w:rFonts w:hint="eastAsia" w:ascii="仿宋_GB2312" w:hAnsi="仿宋_GB2312" w:eastAsia="仿宋_GB2312" w:cs="仿宋_GB2312"/>
          <w:color w:val="auto"/>
          <w:kern w:val="21"/>
          <w:sz w:val="32"/>
          <w:szCs w:val="32"/>
          <w:lang w:eastAsia="zh-CN"/>
        </w:rPr>
        <w:t>扩大到</w:t>
      </w:r>
      <w:r>
        <w:rPr>
          <w:rFonts w:hint="eastAsia" w:ascii="仿宋_GB2312" w:hAnsi="仿宋_GB2312" w:eastAsia="仿宋_GB2312" w:cs="仿宋_GB2312"/>
          <w:color w:val="auto"/>
          <w:kern w:val="21"/>
          <w:sz w:val="32"/>
          <w:szCs w:val="32"/>
        </w:rPr>
        <w:t>城乡低保对象中的高龄、失能、残疾老年人等。</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残联）</w:t>
      </w:r>
      <w:r>
        <w:rPr>
          <w:rFonts w:hint="eastAsia" w:ascii="仿宋_GB2312" w:hAnsi="仿宋_GB2312" w:eastAsia="仿宋_GB2312" w:cs="仿宋_GB2312"/>
          <w:color w:val="auto"/>
          <w:kern w:val="21"/>
          <w:sz w:val="32"/>
          <w:szCs w:val="32"/>
        </w:rPr>
        <w:t>持续开展全国示范性老年友好型社区创建活动。</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推进老年人常用的互联网应用和移动终端、APP应用适老化改造</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在鼓励推广新技术、新方式的同时，保留老年人熟悉的传统服务方式</w:t>
      </w:r>
      <w:r>
        <w:rPr>
          <w:rFonts w:hint="eastAsia" w:ascii="仿宋_GB2312" w:hAnsi="仿宋_GB2312" w:eastAsia="仿宋_GB2312" w:cs="仿宋_GB2312"/>
          <w:color w:val="auto"/>
          <w:kern w:val="21"/>
          <w:sz w:val="32"/>
          <w:szCs w:val="32"/>
          <w:lang w:eastAsia="zh-CN"/>
        </w:rPr>
        <w:t>。</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政</w:t>
      </w:r>
      <w:r>
        <w:rPr>
          <w:rFonts w:hint="eastAsia" w:ascii="黑体" w:hAnsi="黑体" w:eastAsia="黑体" w:cs="黑体"/>
          <w:b w:val="0"/>
          <w:bCs w:val="0"/>
          <w:color w:val="auto"/>
          <w:kern w:val="21"/>
          <w:sz w:val="32"/>
          <w:szCs w:val="32"/>
          <w:lang w:val="en-US" w:eastAsia="zh-CN"/>
        </w:rPr>
        <w:t>务</w:t>
      </w:r>
      <w:r>
        <w:rPr>
          <w:rFonts w:hint="eastAsia" w:ascii="黑体" w:hAnsi="黑体" w:eastAsia="黑体" w:cs="黑体"/>
          <w:b w:val="0"/>
          <w:bCs w:val="0"/>
          <w:color w:val="auto"/>
          <w:kern w:val="21"/>
          <w:sz w:val="32"/>
          <w:szCs w:val="32"/>
        </w:rPr>
        <w:t>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仿宋_GB2312" w:hAnsi="仿宋_GB2312" w:eastAsia="仿宋_GB2312" w:cs="仿宋_GB2312"/>
          <w:color w:val="auto"/>
          <w:kern w:val="21"/>
          <w:sz w:val="32"/>
          <w:szCs w:val="32"/>
        </w:rPr>
        <w:t>实施“智慧助老”行动，助力老年人更新观念，提升老年人运用智能技术能力，开发适老智能产品，推广互联网和远程智能安防监控技术，降低老年人意外风险。</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政数局、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残联、</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（十</w:t>
      </w:r>
      <w:r>
        <w:rPr>
          <w:rFonts w:hint="eastAsia" w:ascii="楷体_GB2312" w:hAnsi="楷体_GB2312" w:eastAsia="楷体_GB2312" w:cs="楷体_GB2312"/>
          <w:color w:val="auto"/>
          <w:kern w:val="21"/>
          <w:sz w:val="32"/>
          <w:szCs w:val="32"/>
          <w:lang w:eastAsia="zh-CN"/>
        </w:rPr>
        <w:t>四</w:t>
      </w:r>
      <w:r>
        <w:rPr>
          <w:rFonts w:hint="eastAsia" w:ascii="楷体_GB2312" w:hAnsi="楷体_GB2312" w:eastAsia="楷体_GB2312" w:cs="楷体_GB2312"/>
          <w:color w:val="auto"/>
          <w:kern w:val="21"/>
          <w:sz w:val="32"/>
          <w:szCs w:val="32"/>
        </w:rPr>
        <w:t>）强化社会敬老。</w:t>
      </w:r>
      <w:r>
        <w:rPr>
          <w:rFonts w:hint="eastAsia" w:ascii="仿宋_GB2312" w:hAnsi="仿宋_GB2312" w:eastAsia="仿宋_GB2312" w:cs="仿宋_GB2312"/>
          <w:color w:val="auto"/>
          <w:kern w:val="21"/>
          <w:sz w:val="32"/>
          <w:szCs w:val="32"/>
        </w:rPr>
        <w:t>深入开展人口老龄化国情教育，将人口老龄化国情教育纳入党校干部培训课程，纳入党委</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党组</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理论学习中心组学习内容。</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委组织部、</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委宣传部、</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教育局）</w:t>
      </w:r>
      <w:r>
        <w:rPr>
          <w:rFonts w:hint="eastAsia" w:ascii="仿宋_GB2312" w:hAnsi="仿宋_GB2312" w:eastAsia="仿宋_GB2312" w:cs="仿宋_GB2312"/>
          <w:color w:val="auto"/>
          <w:kern w:val="21"/>
          <w:sz w:val="32"/>
          <w:szCs w:val="32"/>
        </w:rPr>
        <w:t>持续推进“敬老月”系列活动和“敬老文明号”创建活动。</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val="en-US" w:eastAsia="zh-CN"/>
        </w:rPr>
        <w:t>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广泛动员各级青年志愿服务组织和广大青少年积极参与志愿服务活动，为老年人提供日常陪护、心理疏导、节日慰问等服务。</w:t>
      </w:r>
      <w:r>
        <w:rPr>
          <w:rFonts w:hint="eastAsia" w:ascii="黑体" w:hAnsi="黑体" w:eastAsia="黑体" w:cs="黑体"/>
          <w:b w:val="0"/>
          <w:bCs w:val="0"/>
          <w:color w:val="auto"/>
          <w:kern w:val="21"/>
          <w:sz w:val="32"/>
          <w:szCs w:val="32"/>
        </w:rPr>
        <w:t>（责任单位：团</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教育局）</w:t>
      </w:r>
      <w:r>
        <w:rPr>
          <w:rFonts w:hint="eastAsia" w:ascii="仿宋_GB2312" w:hAnsi="仿宋_GB2312" w:eastAsia="仿宋_GB2312" w:cs="仿宋_GB2312"/>
          <w:color w:val="auto"/>
          <w:kern w:val="21"/>
          <w:sz w:val="32"/>
          <w:szCs w:val="32"/>
        </w:rPr>
        <w:t>将为老志愿服务纳入中小学综合实践活动和高校社会实践内容。</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教育局）</w:t>
      </w:r>
      <w:r>
        <w:rPr>
          <w:rFonts w:hint="eastAsia" w:ascii="仿宋_GB2312" w:hAnsi="仿宋_GB2312" w:eastAsia="仿宋_GB2312" w:cs="仿宋_GB2312"/>
          <w:color w:val="auto"/>
          <w:kern w:val="21"/>
          <w:sz w:val="32"/>
          <w:szCs w:val="32"/>
          <w:highlight w:val="none"/>
        </w:rPr>
        <w:t>拓展老年人优待服务项目和方式，推广老年人凭身份证等有效证件享受各项优待政策。</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文旅局</w:t>
      </w:r>
      <w:r>
        <w:rPr>
          <w:rFonts w:hint="eastAsia" w:ascii="黑体" w:hAnsi="黑体" w:eastAsia="黑体" w:cs="黑体"/>
          <w:b w:val="0"/>
          <w:bCs w:val="0"/>
          <w:color w:val="auto"/>
          <w:kern w:val="21"/>
          <w:sz w:val="32"/>
          <w:szCs w:val="32"/>
          <w:highlight w:val="none"/>
        </w:rPr>
        <w:t>）</w:t>
      </w:r>
      <w:r>
        <w:rPr>
          <w:rFonts w:hint="eastAsia" w:ascii="仿宋_GB2312" w:hAnsi="仿宋_GB2312" w:eastAsia="仿宋_GB2312" w:cs="仿宋_GB2312"/>
          <w:color w:val="auto"/>
          <w:kern w:val="21"/>
          <w:sz w:val="32"/>
          <w:szCs w:val="32"/>
        </w:rPr>
        <w:t>倡导</w:t>
      </w:r>
      <w:r>
        <w:rPr>
          <w:rFonts w:hint="eastAsia" w:ascii="仿宋_GB2312" w:hAnsi="仿宋_GB2312" w:eastAsia="仿宋_GB2312" w:cs="仿宋_GB2312"/>
          <w:b w:val="0"/>
          <w:bCs w:val="0"/>
          <w:i w:val="0"/>
          <w:iCs w:val="0"/>
          <w:color w:val="auto"/>
          <w:kern w:val="21"/>
          <w:sz w:val="32"/>
          <w:szCs w:val="32"/>
          <w:highlight w:val="none"/>
          <w:u w:val="none"/>
          <w:lang w:eastAsia="zh-CN"/>
        </w:rPr>
        <w:t>有条件的乡村旅游经营单位</w:t>
      </w:r>
      <w:r>
        <w:rPr>
          <w:rFonts w:hint="eastAsia" w:ascii="仿宋_GB2312" w:hAnsi="仿宋_GB2312" w:eastAsia="仿宋_GB2312" w:cs="仿宋_GB2312"/>
          <w:b w:val="0"/>
          <w:bCs w:val="0"/>
          <w:i w:val="0"/>
          <w:iCs w:val="0"/>
          <w:color w:val="auto"/>
          <w:kern w:val="21"/>
          <w:sz w:val="32"/>
          <w:szCs w:val="32"/>
          <w:u w:val="none"/>
        </w:rPr>
        <w:t>设</w:t>
      </w:r>
      <w:r>
        <w:rPr>
          <w:rFonts w:hint="eastAsia" w:ascii="仿宋_GB2312" w:hAnsi="仿宋_GB2312" w:eastAsia="仿宋_GB2312" w:cs="仿宋_GB2312"/>
          <w:color w:val="auto"/>
          <w:kern w:val="21"/>
          <w:sz w:val="32"/>
          <w:szCs w:val="32"/>
        </w:rPr>
        <w:t>置无障碍通道、无障碍厕位等无障碍</w:t>
      </w:r>
      <w:r>
        <w:rPr>
          <w:rFonts w:hint="eastAsia" w:ascii="仿宋_GB2312" w:hAnsi="仿宋_GB2312" w:eastAsia="仿宋_GB2312" w:cs="仿宋_GB2312"/>
          <w:color w:val="auto"/>
          <w:kern w:val="21"/>
          <w:sz w:val="32"/>
          <w:szCs w:val="32"/>
          <w:lang w:eastAsia="zh-CN"/>
        </w:rPr>
        <w:t>旅游</w:t>
      </w:r>
      <w:r>
        <w:rPr>
          <w:rFonts w:hint="eastAsia" w:ascii="仿宋_GB2312" w:hAnsi="仿宋_GB2312" w:eastAsia="仿宋_GB2312" w:cs="仿宋_GB2312"/>
          <w:color w:val="auto"/>
          <w:kern w:val="21"/>
          <w:sz w:val="32"/>
          <w:szCs w:val="32"/>
        </w:rPr>
        <w:t>设施，为老年人休闲和旅游提供方便。</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文旅局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充分发挥各级各类媒体作用，通过播放公益广告等方式，大力宣传敬老、爱老、助老的好做法好经验，精心选树</w:t>
      </w:r>
      <w:r>
        <w:rPr>
          <w:rFonts w:hint="eastAsia" w:ascii="仿宋_GB2312" w:hAnsi="仿宋_GB2312" w:eastAsia="仿宋_GB2312" w:cs="仿宋_GB2312"/>
          <w:color w:val="auto"/>
          <w:kern w:val="21"/>
          <w:sz w:val="32"/>
          <w:szCs w:val="32"/>
          <w:lang w:eastAsia="zh-CN"/>
        </w:rPr>
        <w:t>铁西</w:t>
      </w:r>
      <w:r>
        <w:rPr>
          <w:rFonts w:hint="eastAsia" w:ascii="仿宋_GB2312" w:hAnsi="仿宋_GB2312" w:eastAsia="仿宋_GB2312" w:cs="仿宋_GB2312"/>
          <w:color w:val="auto"/>
          <w:kern w:val="21"/>
          <w:sz w:val="32"/>
          <w:szCs w:val="32"/>
        </w:rPr>
        <w:t>好人、道德模范中孝亲爱老的先进典型，树立鲜明尊老敬老导向。</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委宣传部、</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委网信办）</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六、培育发展银发经济</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b w:val="0"/>
          <w:bCs w:val="0"/>
          <w:color w:val="auto"/>
          <w:kern w:val="21"/>
          <w:sz w:val="32"/>
          <w:szCs w:val="32"/>
          <w:highlight w:val="none"/>
          <w:lang w:val="en-US" w:eastAsia="zh-CN"/>
        </w:rPr>
      </w:pPr>
      <w:r>
        <w:rPr>
          <w:rFonts w:hint="eastAsia" w:ascii="楷体_GB2312" w:hAnsi="楷体_GB2312" w:eastAsia="楷体_GB2312" w:cs="楷体_GB2312"/>
          <w:color w:val="auto"/>
          <w:kern w:val="21"/>
          <w:sz w:val="32"/>
          <w:szCs w:val="32"/>
          <w:highlight w:val="none"/>
        </w:rPr>
        <w:t>（十</w:t>
      </w:r>
      <w:r>
        <w:rPr>
          <w:rFonts w:hint="eastAsia" w:ascii="楷体_GB2312" w:hAnsi="楷体_GB2312" w:eastAsia="楷体_GB2312" w:cs="楷体_GB2312"/>
          <w:color w:val="auto"/>
          <w:kern w:val="21"/>
          <w:sz w:val="32"/>
          <w:szCs w:val="32"/>
          <w:highlight w:val="none"/>
          <w:lang w:eastAsia="zh-CN"/>
        </w:rPr>
        <w:t>五</w:t>
      </w:r>
      <w:r>
        <w:rPr>
          <w:rFonts w:hint="eastAsia" w:ascii="楷体_GB2312" w:hAnsi="楷体_GB2312" w:eastAsia="楷体_GB2312" w:cs="楷体_GB2312"/>
          <w:color w:val="auto"/>
          <w:kern w:val="21"/>
          <w:sz w:val="32"/>
          <w:szCs w:val="32"/>
          <w:highlight w:val="none"/>
        </w:rPr>
        <w:t>）加强规划引导。</w:t>
      </w:r>
      <w:r>
        <w:rPr>
          <w:rFonts w:hint="eastAsia" w:ascii="仿宋_GB2312" w:hAnsi="仿宋_GB2312" w:eastAsia="仿宋_GB2312" w:cs="仿宋_GB2312"/>
          <w:color w:val="auto"/>
          <w:kern w:val="21"/>
          <w:sz w:val="32"/>
          <w:szCs w:val="32"/>
          <w:highlight w:val="none"/>
          <w:u w:val="none"/>
        </w:rPr>
        <w:t>将老龄工作纳入年度国民经济和社会发展计划，</w:t>
      </w:r>
      <w:r>
        <w:rPr>
          <w:rFonts w:hint="eastAsia" w:ascii="仿宋_GB2312" w:hAnsi="仿宋_GB2312" w:eastAsia="仿宋_GB2312" w:cs="仿宋_GB2312"/>
          <w:color w:val="auto"/>
          <w:kern w:val="21"/>
          <w:sz w:val="32"/>
          <w:szCs w:val="32"/>
          <w:highlight w:val="none"/>
          <w:u w:val="none"/>
          <w:lang w:val="en-US" w:eastAsia="zh-CN"/>
        </w:rPr>
        <w:t>配合上级部门落实老龄产业发展中长期规划，</w:t>
      </w:r>
      <w:r>
        <w:rPr>
          <w:rFonts w:hint="eastAsia" w:ascii="仿宋_GB2312" w:hAnsi="仿宋_GB2312" w:eastAsia="仿宋_GB2312" w:cs="仿宋_GB2312"/>
          <w:color w:val="auto"/>
          <w:kern w:val="21"/>
          <w:sz w:val="32"/>
          <w:szCs w:val="32"/>
          <w:highlight w:val="none"/>
        </w:rPr>
        <w:t>积极引导社会力量参与老龄产业发展</w:t>
      </w:r>
      <w:r>
        <w:rPr>
          <w:rFonts w:hint="eastAsia" w:ascii="仿宋_GB2312" w:hAnsi="仿宋_GB2312" w:eastAsia="仿宋_GB2312" w:cs="仿宋_GB2312"/>
          <w:color w:val="auto"/>
          <w:kern w:val="21"/>
          <w:sz w:val="32"/>
          <w:szCs w:val="32"/>
          <w:highlight w:val="none"/>
          <w:lang w:eastAsia="zh-CN"/>
        </w:rPr>
        <w:t>，</w:t>
      </w:r>
      <w:r>
        <w:rPr>
          <w:rFonts w:hint="eastAsia" w:ascii="仿宋_GB2312" w:hAnsi="仿宋_GB2312" w:eastAsia="仿宋_GB2312" w:cs="仿宋_GB2312"/>
          <w:color w:val="auto"/>
          <w:kern w:val="21"/>
          <w:sz w:val="32"/>
          <w:szCs w:val="32"/>
          <w:highlight w:val="none"/>
        </w:rPr>
        <w:t>培育老龄产业新业态。按照城市空间结构和功能定位，因地制宜发展特色老龄产业。</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发改</w:t>
      </w:r>
      <w:r>
        <w:rPr>
          <w:rFonts w:hint="eastAsia" w:ascii="黑体" w:hAnsi="黑体" w:eastAsia="黑体" w:cs="黑体"/>
          <w:b w:val="0"/>
          <w:bCs w:val="0"/>
          <w:strike w:val="0"/>
          <w:dstrike w:val="0"/>
          <w:color w:val="auto"/>
          <w:kern w:val="21"/>
          <w:sz w:val="32"/>
          <w:szCs w:val="32"/>
          <w:highlight w:val="none"/>
          <w:lang w:eastAsia="zh-CN"/>
        </w:rPr>
        <w:t>局</w:t>
      </w:r>
      <w:r>
        <w:rPr>
          <w:rFonts w:hint="eastAsia" w:ascii="黑体" w:hAnsi="黑体" w:eastAsia="黑体" w:cs="黑体"/>
          <w:b w:val="0"/>
          <w:bCs w:val="0"/>
          <w:color w:val="auto"/>
          <w:kern w:val="21"/>
          <w:sz w:val="32"/>
          <w:szCs w:val="32"/>
          <w:highlight w:val="none"/>
        </w:rPr>
        <w:t>、</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工信局、</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民政局、</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卫健</w:t>
      </w:r>
      <w:r>
        <w:rPr>
          <w:rFonts w:hint="eastAsia" w:ascii="黑体" w:hAnsi="黑体" w:eastAsia="黑体" w:cs="黑体"/>
          <w:b w:val="0"/>
          <w:bCs w:val="0"/>
          <w:color w:val="auto"/>
          <w:kern w:val="21"/>
          <w:sz w:val="32"/>
          <w:szCs w:val="32"/>
          <w:highlight w:val="none"/>
          <w:lang w:eastAsia="zh-CN"/>
        </w:rPr>
        <w:t>局</w:t>
      </w:r>
      <w:r>
        <w:rPr>
          <w:rFonts w:hint="eastAsia" w:ascii="黑体" w:hAnsi="黑体" w:eastAsia="黑体" w:cs="黑体"/>
          <w:b w:val="0"/>
          <w:bCs w:val="0"/>
          <w:color w:val="auto"/>
          <w:kern w:val="21"/>
          <w:sz w:val="32"/>
          <w:szCs w:val="32"/>
          <w:highlight w:val="none"/>
        </w:rPr>
        <w:t>、</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财政局）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（十</w:t>
      </w:r>
      <w:r>
        <w:rPr>
          <w:rFonts w:hint="eastAsia" w:ascii="楷体_GB2312" w:hAnsi="楷体_GB2312" w:eastAsia="楷体_GB2312" w:cs="楷体_GB2312"/>
          <w:color w:val="auto"/>
          <w:kern w:val="21"/>
          <w:sz w:val="32"/>
          <w:szCs w:val="32"/>
          <w:lang w:eastAsia="zh-CN"/>
        </w:rPr>
        <w:t>六</w:t>
      </w:r>
      <w:r>
        <w:rPr>
          <w:rFonts w:hint="eastAsia" w:ascii="楷体_GB2312" w:hAnsi="楷体_GB2312" w:eastAsia="楷体_GB2312" w:cs="楷体_GB2312"/>
          <w:color w:val="auto"/>
          <w:kern w:val="21"/>
          <w:sz w:val="32"/>
          <w:szCs w:val="32"/>
        </w:rPr>
        <w:t>）发展适老产业。</w:t>
      </w:r>
      <w:r>
        <w:rPr>
          <w:rFonts w:hint="eastAsia" w:ascii="仿宋" w:hAnsi="仿宋" w:eastAsia="仿宋" w:cs="仿宋"/>
          <w:b w:val="0"/>
          <w:bCs w:val="0"/>
          <w:strike w:val="0"/>
          <w:dstrike w:val="0"/>
          <w:color w:val="auto"/>
          <w:kern w:val="21"/>
          <w:sz w:val="32"/>
          <w:szCs w:val="32"/>
          <w:highlight w:val="none"/>
          <w:u w:val="none"/>
        </w:rPr>
        <w:t>配合市直开展</w:t>
      </w:r>
      <w:r>
        <w:rPr>
          <w:rFonts w:hint="eastAsia" w:ascii="仿宋_GB2312" w:hAnsi="仿宋_GB2312" w:eastAsia="仿宋_GB2312" w:cs="仿宋_GB2312"/>
          <w:color w:val="auto"/>
          <w:kern w:val="21"/>
          <w:sz w:val="32"/>
          <w:szCs w:val="32"/>
          <w:highlight w:val="none"/>
          <w:u w:val="none"/>
        </w:rPr>
        <w:t>老年产品的研发制造力度</w:t>
      </w:r>
      <w:r>
        <w:rPr>
          <w:rFonts w:hint="eastAsia" w:ascii="仿宋_GB2312" w:hAnsi="仿宋_GB2312" w:eastAsia="仿宋_GB2312" w:cs="仿宋_GB2312"/>
          <w:color w:val="auto"/>
          <w:kern w:val="21"/>
          <w:sz w:val="32"/>
          <w:szCs w:val="32"/>
          <w:highlight w:val="none"/>
          <w:u w:val="none"/>
          <w:lang w:eastAsia="zh-CN"/>
        </w:rPr>
        <w:t>。</w:t>
      </w:r>
      <w:r>
        <w:rPr>
          <w:rFonts w:hint="eastAsia" w:ascii="黑体" w:hAnsi="黑体" w:eastAsia="黑体" w:cs="黑体"/>
          <w:b w:val="0"/>
          <w:bCs w:val="0"/>
          <w:color w:val="auto"/>
          <w:kern w:val="21"/>
          <w:sz w:val="32"/>
          <w:szCs w:val="32"/>
          <w:highlight w:val="none"/>
          <w:u w:val="none"/>
        </w:rPr>
        <w:t>（责任单位：</w:t>
      </w:r>
      <w:r>
        <w:rPr>
          <w:rFonts w:hint="eastAsia" w:ascii="黑体" w:hAnsi="黑体" w:eastAsia="黑体" w:cs="黑体"/>
          <w:b w:val="0"/>
          <w:bCs w:val="0"/>
          <w:color w:val="auto"/>
          <w:kern w:val="21"/>
          <w:sz w:val="32"/>
          <w:szCs w:val="32"/>
          <w:highlight w:val="none"/>
          <w:u w:val="none"/>
          <w:lang w:eastAsia="zh-CN"/>
        </w:rPr>
        <w:t>区</w:t>
      </w:r>
      <w:r>
        <w:rPr>
          <w:rFonts w:hint="eastAsia" w:ascii="黑体" w:hAnsi="黑体" w:eastAsia="黑体" w:cs="黑体"/>
          <w:b w:val="0"/>
          <w:bCs w:val="0"/>
          <w:color w:val="auto"/>
          <w:kern w:val="21"/>
          <w:sz w:val="32"/>
          <w:szCs w:val="32"/>
          <w:highlight w:val="none"/>
          <w:u w:val="none"/>
        </w:rPr>
        <w:t>工信局）</w:t>
      </w:r>
      <w:r>
        <w:rPr>
          <w:rFonts w:hint="eastAsia" w:ascii="仿宋" w:hAnsi="仿宋" w:eastAsia="仿宋" w:cs="仿宋"/>
          <w:b w:val="0"/>
          <w:bCs w:val="0"/>
          <w:color w:val="auto"/>
          <w:kern w:val="21"/>
          <w:sz w:val="32"/>
          <w:szCs w:val="32"/>
          <w:highlight w:val="none"/>
          <w:u w:val="none"/>
        </w:rPr>
        <w:t>配合市直部门引导</w:t>
      </w:r>
      <w:r>
        <w:rPr>
          <w:rFonts w:hint="eastAsia" w:ascii="仿宋_GB2312" w:hAnsi="仿宋_GB2312" w:eastAsia="仿宋_GB2312" w:cs="仿宋_GB2312"/>
          <w:color w:val="auto"/>
          <w:kern w:val="21"/>
          <w:sz w:val="32"/>
          <w:szCs w:val="32"/>
          <w:highlight w:val="none"/>
          <w:u w:val="none"/>
        </w:rPr>
        <w:t>企业设立线上线下融合、为老年人服务</w:t>
      </w:r>
      <w:r>
        <w:rPr>
          <w:rFonts w:hint="eastAsia" w:ascii="仿宋_GB2312" w:hAnsi="仿宋_GB2312" w:eastAsia="仿宋_GB2312" w:cs="仿宋_GB2312"/>
          <w:color w:val="auto"/>
          <w:kern w:val="21"/>
          <w:sz w:val="32"/>
          <w:szCs w:val="32"/>
          <w:highlight w:val="none"/>
        </w:rPr>
        <w:t>的专柜和体验店，发展养老相关产业融合的新模式新业态</w:t>
      </w:r>
      <w:r>
        <w:rPr>
          <w:rFonts w:hint="eastAsia" w:ascii="仿宋_GB2312" w:hAnsi="仿宋_GB2312" w:eastAsia="仿宋_GB2312" w:cs="仿宋_GB2312"/>
          <w:color w:val="auto"/>
          <w:kern w:val="21"/>
          <w:sz w:val="32"/>
          <w:szCs w:val="32"/>
          <w:highlight w:val="none"/>
          <w:lang w:eastAsia="zh-CN"/>
        </w:rPr>
        <w:t>。</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工信局</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商务局）</w:t>
      </w:r>
      <w:r>
        <w:rPr>
          <w:rFonts w:hint="eastAsia" w:ascii="仿宋_GB2312" w:hAnsi="仿宋_GB2312" w:eastAsia="仿宋_GB2312" w:cs="仿宋_GB2312"/>
          <w:color w:val="auto"/>
          <w:kern w:val="21"/>
          <w:sz w:val="32"/>
          <w:szCs w:val="32"/>
        </w:rPr>
        <w:t>结合我</w:t>
      </w:r>
      <w:r>
        <w:rPr>
          <w:rFonts w:hint="eastAsia" w:ascii="仿宋_GB2312" w:hAnsi="仿宋_GB2312" w:eastAsia="仿宋_GB2312" w:cs="仿宋_GB2312"/>
          <w:color w:val="auto"/>
          <w:kern w:val="21"/>
          <w:sz w:val="32"/>
          <w:szCs w:val="32"/>
          <w:lang w:eastAsia="zh-CN"/>
        </w:rPr>
        <w:t>区实际</w:t>
      </w:r>
      <w:r>
        <w:rPr>
          <w:rFonts w:hint="eastAsia" w:ascii="仿宋_GB2312" w:hAnsi="仿宋_GB2312" w:eastAsia="仿宋_GB2312" w:cs="仿宋_GB2312"/>
          <w:color w:val="auto"/>
          <w:kern w:val="21"/>
          <w:sz w:val="32"/>
          <w:szCs w:val="32"/>
        </w:rPr>
        <w:t>培育一批特色突出、服务优良的康养基地。</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文旅局）</w:t>
      </w:r>
      <w:r>
        <w:rPr>
          <w:rFonts w:hint="eastAsia" w:ascii="仿宋_GB2312" w:hAnsi="仿宋_GB2312" w:eastAsia="仿宋_GB2312" w:cs="仿宋_GB2312"/>
          <w:color w:val="auto"/>
          <w:kern w:val="21"/>
          <w:sz w:val="32"/>
          <w:szCs w:val="32"/>
        </w:rPr>
        <w:t>严厉打击侵犯知识产权和制售假冒伪劣商品等违法行为，维护老年人消费权益，营造安全、便利、诚信的消费环境。</w:t>
      </w:r>
      <w:r>
        <w:rPr>
          <w:rFonts w:hint="eastAsia" w:ascii="黑体" w:hAnsi="黑体" w:eastAsia="黑体" w:cs="黑体"/>
          <w:b w:val="0"/>
          <w:bCs w:val="0"/>
          <w:color w:val="auto"/>
          <w:kern w:val="21"/>
          <w:sz w:val="32"/>
          <w:szCs w:val="32"/>
        </w:rPr>
        <w:t>（责任单位：市市场监管局</w:t>
      </w:r>
      <w:r>
        <w:rPr>
          <w:rFonts w:hint="eastAsia" w:ascii="黑体" w:hAnsi="黑体" w:eastAsia="黑体" w:cs="黑体"/>
          <w:b w:val="0"/>
          <w:bCs w:val="0"/>
          <w:color w:val="auto"/>
          <w:kern w:val="21"/>
          <w:sz w:val="32"/>
          <w:szCs w:val="32"/>
          <w:lang w:eastAsia="zh-CN"/>
        </w:rPr>
        <w:t>铁西分局</w:t>
      </w:r>
      <w:r>
        <w:rPr>
          <w:rFonts w:hint="eastAsia" w:ascii="黑体" w:hAnsi="黑体" w:eastAsia="黑体" w:cs="黑体"/>
          <w:b w:val="0"/>
          <w:bCs w:val="0"/>
          <w:color w:val="auto"/>
          <w:kern w:val="21"/>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七、强化老龄工作保障</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（十</w:t>
      </w:r>
      <w:r>
        <w:rPr>
          <w:rFonts w:hint="eastAsia" w:ascii="楷体_GB2312" w:hAnsi="楷体_GB2312" w:eastAsia="楷体_GB2312" w:cs="楷体_GB2312"/>
          <w:color w:val="auto"/>
          <w:kern w:val="21"/>
          <w:sz w:val="32"/>
          <w:szCs w:val="32"/>
          <w:lang w:eastAsia="zh-CN"/>
        </w:rPr>
        <w:t>七</w:t>
      </w:r>
      <w:r>
        <w:rPr>
          <w:rFonts w:hint="eastAsia" w:ascii="楷体_GB2312" w:hAnsi="楷体_GB2312" w:eastAsia="楷体_GB2312" w:cs="楷体_GB2312"/>
          <w:color w:val="auto"/>
          <w:kern w:val="21"/>
          <w:sz w:val="32"/>
          <w:szCs w:val="32"/>
        </w:rPr>
        <w:t>）加强人才队伍建设。</w:t>
      </w:r>
      <w:r>
        <w:rPr>
          <w:rFonts w:hint="eastAsia" w:ascii="仿宋_GB2312" w:hAnsi="仿宋_GB2312" w:eastAsia="仿宋_GB2312" w:cs="仿宋_GB2312"/>
          <w:strike w:val="0"/>
          <w:dstrike w:val="0"/>
          <w:color w:val="auto"/>
          <w:kern w:val="21"/>
          <w:sz w:val="32"/>
          <w:szCs w:val="32"/>
          <w:highlight w:val="none"/>
        </w:rPr>
        <w:t>持续开展养老服务人才培训提升行动，加快培养养老护理、老年健康管理、老龄产业等领域的技术、服务、研究和管理人才队伍，填补为老服务人力资源缺口，推进人才队伍职业化、专业化发展。加强养老护理</w:t>
      </w:r>
      <w:r>
        <w:rPr>
          <w:rFonts w:hint="eastAsia" w:ascii="仿宋_GB2312" w:hAnsi="仿宋_GB2312" w:eastAsia="仿宋_GB2312" w:cs="仿宋_GB2312"/>
          <w:strike w:val="0"/>
          <w:dstrike w:val="0"/>
          <w:color w:val="auto"/>
          <w:kern w:val="21"/>
          <w:sz w:val="32"/>
          <w:szCs w:val="32"/>
          <w:highlight w:val="none"/>
          <w:lang w:eastAsia="zh-CN"/>
        </w:rPr>
        <w:t>员</w:t>
      </w:r>
      <w:r>
        <w:rPr>
          <w:rFonts w:hint="eastAsia" w:ascii="仿宋_GB2312" w:hAnsi="仿宋_GB2312" w:eastAsia="仿宋_GB2312" w:cs="仿宋_GB2312"/>
          <w:strike w:val="0"/>
          <w:dstrike w:val="0"/>
          <w:color w:val="auto"/>
          <w:kern w:val="21"/>
          <w:sz w:val="32"/>
          <w:szCs w:val="32"/>
          <w:highlight w:val="none"/>
        </w:rPr>
        <w:t>、医疗卫生护理</w:t>
      </w:r>
      <w:r>
        <w:rPr>
          <w:rFonts w:hint="eastAsia" w:ascii="仿宋_GB2312" w:hAnsi="仿宋_GB2312" w:eastAsia="仿宋_GB2312" w:cs="仿宋_GB2312"/>
          <w:strike w:val="0"/>
          <w:dstrike w:val="0"/>
          <w:color w:val="auto"/>
          <w:kern w:val="21"/>
          <w:sz w:val="32"/>
          <w:szCs w:val="32"/>
          <w:highlight w:val="none"/>
          <w:lang w:eastAsia="zh-CN"/>
        </w:rPr>
        <w:t>员</w:t>
      </w:r>
      <w:r>
        <w:rPr>
          <w:rFonts w:hint="eastAsia" w:ascii="仿宋_GB2312" w:hAnsi="仿宋_GB2312" w:eastAsia="仿宋_GB2312" w:cs="仿宋_GB2312"/>
          <w:strike w:val="0"/>
          <w:dstrike w:val="0"/>
          <w:color w:val="auto"/>
          <w:kern w:val="21"/>
          <w:sz w:val="32"/>
          <w:szCs w:val="32"/>
          <w:highlight w:val="none"/>
        </w:rPr>
        <w:t>和医疗卫生专业</w:t>
      </w:r>
      <w:r>
        <w:rPr>
          <w:rFonts w:hint="eastAsia" w:ascii="仿宋_GB2312" w:hAnsi="仿宋_GB2312" w:eastAsia="仿宋_GB2312" w:cs="仿宋_GB2312"/>
          <w:strike w:val="0"/>
          <w:dstrike w:val="0"/>
          <w:color w:val="auto"/>
          <w:kern w:val="21"/>
          <w:sz w:val="32"/>
          <w:szCs w:val="32"/>
          <w:highlight w:val="none"/>
          <w:lang w:eastAsia="zh-CN"/>
        </w:rPr>
        <w:t>人员</w:t>
      </w:r>
      <w:r>
        <w:rPr>
          <w:rFonts w:hint="eastAsia" w:ascii="仿宋_GB2312" w:hAnsi="仿宋_GB2312" w:eastAsia="仿宋_GB2312" w:cs="仿宋_GB2312"/>
          <w:strike w:val="0"/>
          <w:dstrike w:val="0"/>
          <w:color w:val="auto"/>
          <w:kern w:val="21"/>
          <w:sz w:val="32"/>
          <w:szCs w:val="32"/>
          <w:highlight w:val="none"/>
        </w:rPr>
        <w:t>等技能培训，研究探索养老护理员、医疗护理员入职补贴、岗位津贴、职业技能鉴定补贴和工龄补贴等支持政策，强化技能价值激励导向，吸引优质人才进入为老服务行业。</w:t>
      </w:r>
      <w:r>
        <w:rPr>
          <w:rFonts w:hint="eastAsia" w:ascii="黑体" w:hAnsi="黑体" w:eastAsia="黑体" w:cs="黑体"/>
          <w:b w:val="0"/>
          <w:bCs w:val="0"/>
          <w:strike w:val="0"/>
          <w:dstrike w:val="0"/>
          <w:color w:val="auto"/>
          <w:kern w:val="21"/>
          <w:sz w:val="32"/>
          <w:szCs w:val="32"/>
          <w:highlight w:val="none"/>
        </w:rPr>
        <w:t>（</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民政局、</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卫健</w:t>
      </w:r>
      <w:r>
        <w:rPr>
          <w:rFonts w:hint="eastAsia" w:ascii="黑体" w:hAnsi="黑体" w:eastAsia="黑体" w:cs="黑体"/>
          <w:b w:val="0"/>
          <w:bCs w:val="0"/>
          <w:strike w:val="0"/>
          <w:dstrike w:val="0"/>
          <w:color w:val="auto"/>
          <w:kern w:val="21"/>
          <w:sz w:val="32"/>
          <w:szCs w:val="32"/>
          <w:highlight w:val="none"/>
          <w:lang w:eastAsia="zh-CN"/>
        </w:rPr>
        <w:t>局、区</w:t>
      </w:r>
      <w:r>
        <w:rPr>
          <w:rFonts w:hint="eastAsia" w:ascii="黑体" w:hAnsi="黑体" w:eastAsia="黑体" w:cs="黑体"/>
          <w:b w:val="0"/>
          <w:bCs w:val="0"/>
          <w:strike w:val="0"/>
          <w:dstrike w:val="0"/>
          <w:color w:val="auto"/>
          <w:kern w:val="21"/>
          <w:sz w:val="32"/>
          <w:szCs w:val="32"/>
          <w:highlight w:val="none"/>
        </w:rPr>
        <w:t>财政局</w:t>
      </w:r>
      <w:r>
        <w:rPr>
          <w:rFonts w:hint="eastAsia" w:ascii="黑体" w:hAnsi="黑体" w:eastAsia="黑体" w:cs="黑体"/>
          <w:b w:val="0"/>
          <w:bCs w:val="0"/>
          <w:strike w:val="0"/>
          <w:dstrike w:val="0"/>
          <w:color w:val="auto"/>
          <w:kern w:val="21"/>
          <w:sz w:val="32"/>
          <w:szCs w:val="32"/>
          <w:highlight w:val="none"/>
          <w:lang w:val="en-US" w:eastAsia="zh-CN"/>
        </w:rPr>
        <w:t>）</w:t>
      </w:r>
      <w:r>
        <w:rPr>
          <w:rFonts w:hint="eastAsia" w:ascii="仿宋_GB2312" w:hAnsi="仿宋_GB2312" w:eastAsia="仿宋_GB2312" w:cs="仿宋_GB2312"/>
          <w:color w:val="auto"/>
          <w:kern w:val="21"/>
          <w:sz w:val="32"/>
          <w:szCs w:val="32"/>
        </w:rPr>
        <w:t>支持医疗机构、行业社团、职业培训机构等与基层医疗机构、养老机构等合作，提供相关培训。</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人社局、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教育局）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highlight w:val="none"/>
        </w:rPr>
      </w:pPr>
      <w:r>
        <w:rPr>
          <w:rFonts w:hint="eastAsia" w:ascii="楷体_GB2312" w:hAnsi="楷体_GB2312" w:eastAsia="楷体_GB2312" w:cs="楷体_GB2312"/>
          <w:color w:val="auto"/>
          <w:kern w:val="21"/>
          <w:sz w:val="32"/>
          <w:szCs w:val="32"/>
        </w:rPr>
        <w:t>（十</w:t>
      </w:r>
      <w:r>
        <w:rPr>
          <w:rFonts w:hint="eastAsia" w:ascii="楷体_GB2312" w:hAnsi="楷体_GB2312" w:eastAsia="楷体_GB2312" w:cs="楷体_GB2312"/>
          <w:color w:val="auto"/>
          <w:kern w:val="21"/>
          <w:sz w:val="32"/>
          <w:szCs w:val="32"/>
          <w:lang w:eastAsia="zh-CN"/>
        </w:rPr>
        <w:t>八</w:t>
      </w:r>
      <w:r>
        <w:rPr>
          <w:rFonts w:hint="eastAsia" w:ascii="楷体_GB2312" w:hAnsi="楷体_GB2312" w:eastAsia="楷体_GB2312" w:cs="楷体_GB2312"/>
          <w:color w:val="auto"/>
          <w:kern w:val="21"/>
          <w:sz w:val="32"/>
          <w:szCs w:val="32"/>
        </w:rPr>
        <w:t>）加强老年设施供给。</w:t>
      </w:r>
      <w:r>
        <w:rPr>
          <w:rFonts w:hint="eastAsia" w:ascii="仿宋_GB2312" w:hAnsi="仿宋_GB2312" w:eastAsia="仿宋_GB2312" w:cs="仿宋_GB2312"/>
          <w:color w:val="auto"/>
          <w:kern w:val="21"/>
          <w:sz w:val="32"/>
          <w:szCs w:val="32"/>
          <w:highlight w:val="none"/>
        </w:rPr>
        <w:t>按照《国家积极应对人口老龄化中长期规划》要求，加强老年设施</w:t>
      </w:r>
      <w:r>
        <w:rPr>
          <w:rFonts w:hint="eastAsia" w:ascii="仿宋_GB2312" w:hAnsi="仿宋_GB2312" w:eastAsia="仿宋_GB2312" w:cs="仿宋_GB2312"/>
          <w:color w:val="auto"/>
          <w:kern w:val="21"/>
          <w:sz w:val="32"/>
          <w:szCs w:val="32"/>
          <w:highlight w:val="none"/>
          <w:lang w:eastAsia="zh-CN"/>
        </w:rPr>
        <w:t>及</w:t>
      </w:r>
      <w:r>
        <w:rPr>
          <w:rFonts w:hint="eastAsia" w:ascii="仿宋_GB2312" w:hAnsi="仿宋_GB2312" w:eastAsia="仿宋_GB2312" w:cs="仿宋_GB2312"/>
          <w:color w:val="auto"/>
          <w:kern w:val="21"/>
          <w:sz w:val="32"/>
          <w:szCs w:val="32"/>
          <w:highlight w:val="none"/>
        </w:rPr>
        <w:t>特困人员供养服务设施建设，提升集中供养和失能照护能力。于</w:t>
      </w:r>
      <w:r>
        <w:rPr>
          <w:rFonts w:hint="eastAsia" w:ascii="仿宋" w:hAnsi="仿宋" w:eastAsia="仿宋" w:cs="仿宋"/>
          <w:spacing w:val="0"/>
          <w:sz w:val="32"/>
          <w:szCs w:val="32"/>
          <w:highlight w:val="none"/>
          <w:lang w:val="en-US" w:eastAsia="zh-CN"/>
        </w:rPr>
        <w:t>2022</w:t>
      </w:r>
      <w:r>
        <w:rPr>
          <w:rFonts w:hint="eastAsia" w:ascii="仿宋_GB2312" w:hAnsi="仿宋_GB2312" w:eastAsia="仿宋_GB2312" w:cs="仿宋_GB2312"/>
          <w:color w:val="auto"/>
          <w:kern w:val="21"/>
          <w:sz w:val="32"/>
          <w:szCs w:val="32"/>
          <w:highlight w:val="none"/>
        </w:rPr>
        <w:t>年年底至少建有</w:t>
      </w:r>
      <w:r>
        <w:rPr>
          <w:rFonts w:hint="eastAsia" w:ascii="仿宋" w:hAnsi="仿宋" w:eastAsia="仿宋" w:cs="仿宋"/>
          <w:spacing w:val="0"/>
          <w:sz w:val="32"/>
          <w:szCs w:val="32"/>
          <w:highlight w:val="none"/>
          <w:lang w:val="en-US" w:eastAsia="zh-CN"/>
        </w:rPr>
        <w:t>1</w:t>
      </w:r>
      <w:r>
        <w:rPr>
          <w:rFonts w:hint="eastAsia" w:ascii="仿宋_GB2312" w:hAnsi="仿宋_GB2312" w:eastAsia="仿宋_GB2312" w:cs="仿宋_GB2312"/>
          <w:color w:val="auto"/>
          <w:kern w:val="21"/>
          <w:sz w:val="32"/>
          <w:szCs w:val="32"/>
          <w:highlight w:val="none"/>
        </w:rPr>
        <w:t>所以收住城乡困难失能、残疾老年人为主的</w:t>
      </w:r>
      <w:r>
        <w:rPr>
          <w:rFonts w:hint="eastAsia" w:ascii="仿宋_GB2312" w:hAnsi="仿宋_GB2312" w:eastAsia="仿宋_GB2312" w:cs="仿宋_GB2312"/>
          <w:color w:val="auto"/>
          <w:kern w:val="21"/>
          <w:sz w:val="32"/>
          <w:szCs w:val="32"/>
          <w:highlight w:val="none"/>
          <w:lang w:eastAsia="zh-CN"/>
        </w:rPr>
        <w:t>区</w:t>
      </w:r>
      <w:r>
        <w:rPr>
          <w:rFonts w:hint="eastAsia" w:ascii="仿宋_GB2312" w:hAnsi="仿宋_GB2312" w:eastAsia="仿宋_GB2312" w:cs="仿宋_GB2312"/>
          <w:color w:val="auto"/>
          <w:kern w:val="21"/>
          <w:sz w:val="32"/>
          <w:szCs w:val="32"/>
          <w:highlight w:val="none"/>
        </w:rPr>
        <w:t>级层面养老机构。加快推进街道（乡）范围内建设具备综合功能的区域养老服务中心。</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民政局</w:t>
      </w:r>
      <w:r>
        <w:rPr>
          <w:rFonts w:hint="eastAsia" w:ascii="黑体" w:hAnsi="黑体" w:eastAsia="黑体" w:cs="黑体"/>
          <w:b w:val="0"/>
          <w:bCs w:val="0"/>
          <w:strike w:val="0"/>
          <w:dstrike w:val="0"/>
          <w:color w:val="auto"/>
          <w:kern w:val="21"/>
          <w:sz w:val="32"/>
          <w:szCs w:val="32"/>
          <w:highlight w:val="none"/>
        </w:rPr>
        <w:t>、</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发改</w:t>
      </w:r>
      <w:r>
        <w:rPr>
          <w:rFonts w:hint="eastAsia" w:ascii="黑体" w:hAnsi="黑体" w:eastAsia="黑体" w:cs="黑体"/>
          <w:b w:val="0"/>
          <w:bCs w:val="0"/>
          <w:strike w:val="0"/>
          <w:dstrike w:val="0"/>
          <w:color w:val="auto"/>
          <w:kern w:val="21"/>
          <w:sz w:val="32"/>
          <w:szCs w:val="32"/>
          <w:highlight w:val="none"/>
          <w:lang w:eastAsia="zh-CN"/>
        </w:rPr>
        <w:t>局</w:t>
      </w:r>
      <w:r>
        <w:rPr>
          <w:rFonts w:hint="eastAsia" w:ascii="黑体" w:hAnsi="黑体" w:eastAsia="黑体" w:cs="黑体"/>
          <w:b w:val="0"/>
          <w:bCs w:val="0"/>
          <w:color w:val="auto"/>
          <w:kern w:val="21"/>
          <w:sz w:val="32"/>
          <w:szCs w:val="32"/>
          <w:highlight w:val="none"/>
        </w:rPr>
        <w:t>、</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财政局）</w:t>
      </w:r>
      <w:r>
        <w:rPr>
          <w:rFonts w:hint="eastAsia" w:ascii="仿宋_GB2312" w:hAnsi="仿宋_GB2312" w:eastAsia="仿宋_GB2312" w:cs="仿宋_GB2312"/>
          <w:color w:val="auto"/>
          <w:kern w:val="21"/>
          <w:sz w:val="32"/>
          <w:szCs w:val="32"/>
          <w:highlight w:val="none"/>
        </w:rPr>
        <w:t>加强社区养老服务设施建设，按人均用地不少于</w:t>
      </w:r>
      <w:r>
        <w:rPr>
          <w:rFonts w:hint="eastAsia" w:ascii="仿宋" w:hAnsi="仿宋" w:eastAsia="仿宋" w:cs="仿宋"/>
          <w:spacing w:val="0"/>
          <w:sz w:val="32"/>
          <w:szCs w:val="32"/>
          <w:highlight w:val="none"/>
          <w:lang w:val="en-US" w:eastAsia="zh-CN"/>
        </w:rPr>
        <w:t>0.12</w:t>
      </w:r>
      <w:r>
        <w:rPr>
          <w:rFonts w:hint="eastAsia" w:ascii="仿宋_GB2312" w:hAnsi="仿宋_GB2312" w:eastAsia="仿宋_GB2312" w:cs="仿宋_GB2312"/>
          <w:color w:val="auto"/>
          <w:kern w:val="21"/>
          <w:sz w:val="32"/>
          <w:szCs w:val="32"/>
          <w:highlight w:val="none"/>
        </w:rPr>
        <w:t>平方米标准落实，与住宅同步规划、同步建设、同步验收、同步交付使用，新建城区、新建居住区按标准要求配套建设养老服务设施实现全覆盖。</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住建局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仿宋_GB2312" w:hAnsi="仿宋_GB2312" w:eastAsia="仿宋_GB2312" w:cs="仿宋_GB2312"/>
          <w:color w:val="auto"/>
          <w:kern w:val="21"/>
          <w:sz w:val="32"/>
          <w:szCs w:val="32"/>
        </w:rPr>
        <w:t>到</w:t>
      </w:r>
      <w:r>
        <w:rPr>
          <w:rFonts w:hint="eastAsia" w:ascii="仿宋" w:hAnsi="仿宋" w:eastAsia="仿宋" w:cs="仿宋"/>
          <w:spacing w:val="0"/>
          <w:sz w:val="32"/>
          <w:szCs w:val="32"/>
          <w:lang w:val="en-US" w:eastAsia="zh-CN"/>
        </w:rPr>
        <w:t>2025</w:t>
      </w:r>
      <w:r>
        <w:rPr>
          <w:rFonts w:hint="eastAsia" w:ascii="仿宋_GB2312" w:hAnsi="仿宋_GB2312" w:eastAsia="仿宋_GB2312" w:cs="仿宋_GB2312"/>
          <w:color w:val="auto"/>
          <w:kern w:val="21"/>
          <w:sz w:val="32"/>
          <w:szCs w:val="32"/>
        </w:rPr>
        <w:t>年，结合老旧小区改造增加社区养老服务设施供给，通过补建、改造、购买、置换、租赁等方式因地制宜补齐社区养老服务设施短板，逐步完善“一刻钟”居家养老服务圈。</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住建局、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发改</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仿宋_GB2312" w:hAnsi="仿宋_GB2312" w:eastAsia="仿宋_GB2312" w:cs="仿宋_GB2312"/>
          <w:color w:val="auto"/>
          <w:kern w:val="21"/>
          <w:sz w:val="32"/>
          <w:szCs w:val="32"/>
          <w:highlight w:val="none"/>
        </w:rPr>
        <w:t>建立常态化督查机制，全面开展城镇配建养老服务设施专项治理。</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val="en-US" w:eastAsia="zh-CN"/>
        </w:rPr>
        <w:t>区委</w:t>
      </w:r>
      <w:r>
        <w:rPr>
          <w:rFonts w:hint="eastAsia" w:ascii="黑体" w:hAnsi="黑体" w:eastAsia="黑体" w:cs="黑体"/>
          <w:b w:val="0"/>
          <w:bCs w:val="0"/>
          <w:color w:val="auto"/>
          <w:kern w:val="21"/>
          <w:sz w:val="32"/>
          <w:szCs w:val="32"/>
          <w:highlight w:val="none"/>
          <w:lang w:eastAsia="zh-CN"/>
        </w:rPr>
        <w:t>督查室、</w:t>
      </w:r>
      <w:r>
        <w:rPr>
          <w:rFonts w:hint="eastAsia" w:ascii="黑体" w:hAnsi="黑体" w:eastAsia="黑体" w:cs="黑体"/>
          <w:b w:val="0"/>
          <w:bCs w:val="0"/>
          <w:color w:val="auto"/>
          <w:kern w:val="21"/>
          <w:sz w:val="32"/>
          <w:szCs w:val="32"/>
          <w:highlight w:val="none"/>
          <w:lang w:val="en-US" w:eastAsia="zh-CN"/>
        </w:rPr>
        <w:t>区政府</w:t>
      </w:r>
      <w:r>
        <w:rPr>
          <w:rFonts w:hint="eastAsia" w:ascii="黑体" w:hAnsi="黑体" w:eastAsia="黑体" w:cs="黑体"/>
          <w:b w:val="0"/>
          <w:bCs w:val="0"/>
          <w:color w:val="auto"/>
          <w:kern w:val="21"/>
          <w:sz w:val="32"/>
          <w:szCs w:val="32"/>
          <w:highlight w:val="none"/>
          <w:lang w:eastAsia="zh-CN"/>
        </w:rPr>
        <w:t>督查室、区</w:t>
      </w:r>
      <w:r>
        <w:rPr>
          <w:rFonts w:hint="eastAsia" w:ascii="黑体" w:hAnsi="黑体" w:eastAsia="黑体" w:cs="黑体"/>
          <w:b w:val="0"/>
          <w:bCs w:val="0"/>
          <w:color w:val="auto"/>
          <w:kern w:val="21"/>
          <w:sz w:val="32"/>
          <w:szCs w:val="32"/>
          <w:highlight w:val="none"/>
        </w:rPr>
        <w:t>民政局、</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财政局）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strike w:val="0"/>
          <w:dstrike w:val="0"/>
          <w:color w:val="auto"/>
          <w:kern w:val="21"/>
          <w:sz w:val="32"/>
          <w:szCs w:val="32"/>
          <w:highlight w:val="none"/>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十九</w:t>
      </w:r>
      <w:r>
        <w:rPr>
          <w:rFonts w:hint="eastAsia" w:ascii="楷体_GB2312" w:hAnsi="楷体_GB2312" w:eastAsia="楷体_GB2312" w:cs="楷体_GB2312"/>
          <w:color w:val="auto"/>
          <w:kern w:val="21"/>
          <w:sz w:val="32"/>
          <w:szCs w:val="32"/>
        </w:rPr>
        <w:t>）完善相关支持政策。</w:t>
      </w:r>
      <w:r>
        <w:rPr>
          <w:rFonts w:hint="eastAsia" w:ascii="仿宋_GB2312" w:hAnsi="仿宋_GB2312" w:eastAsia="仿宋_GB2312" w:cs="仿宋_GB2312"/>
          <w:color w:val="auto"/>
          <w:kern w:val="21"/>
          <w:sz w:val="32"/>
          <w:szCs w:val="32"/>
          <w:highlight w:val="none"/>
        </w:rPr>
        <w:t>加大财政对老龄事业的投入力度，建立与人口老龄化程度相适应的财政投入保障机制，完善老龄事业发展财政投入政策和多渠道筹资机制，继续争取中央预算内投资支持。</w:t>
      </w:r>
      <w:r>
        <w:rPr>
          <w:rFonts w:hint="eastAsia" w:ascii="黑体" w:hAnsi="黑体" w:eastAsia="黑体" w:cs="黑体"/>
          <w:b w:val="0"/>
          <w:bCs w:val="0"/>
          <w:color w:val="auto"/>
          <w:kern w:val="21"/>
          <w:sz w:val="32"/>
          <w:szCs w:val="32"/>
          <w:highlight w:val="none"/>
        </w:rPr>
        <w:t>（责任单位：</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财政局、</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民政局、</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人社局、</w:t>
      </w:r>
      <w:r>
        <w:rPr>
          <w:rFonts w:hint="eastAsia" w:ascii="黑体" w:hAnsi="黑体" w:eastAsia="黑体" w:cs="黑体"/>
          <w:b w:val="0"/>
          <w:bCs w:val="0"/>
          <w:color w:val="auto"/>
          <w:kern w:val="21"/>
          <w:sz w:val="32"/>
          <w:szCs w:val="32"/>
          <w:highlight w:val="none"/>
          <w:lang w:eastAsia="zh-CN"/>
        </w:rPr>
        <w:t>区</w:t>
      </w:r>
      <w:r>
        <w:rPr>
          <w:rFonts w:hint="eastAsia" w:ascii="黑体" w:hAnsi="黑体" w:eastAsia="黑体" w:cs="黑体"/>
          <w:b w:val="0"/>
          <w:bCs w:val="0"/>
          <w:color w:val="auto"/>
          <w:kern w:val="21"/>
          <w:sz w:val="32"/>
          <w:szCs w:val="32"/>
          <w:highlight w:val="none"/>
        </w:rPr>
        <w:t>卫健</w:t>
      </w:r>
      <w:r>
        <w:rPr>
          <w:rFonts w:hint="eastAsia" w:ascii="黑体" w:hAnsi="黑体" w:eastAsia="黑体" w:cs="黑体"/>
          <w:b w:val="0"/>
          <w:bCs w:val="0"/>
          <w:color w:val="auto"/>
          <w:kern w:val="21"/>
          <w:sz w:val="32"/>
          <w:szCs w:val="32"/>
          <w:highlight w:val="none"/>
          <w:lang w:eastAsia="zh-CN"/>
        </w:rPr>
        <w:t>局</w:t>
      </w:r>
      <w:r>
        <w:rPr>
          <w:rFonts w:hint="eastAsia" w:ascii="黑体" w:hAnsi="黑体" w:eastAsia="黑体" w:cs="黑体"/>
          <w:b w:val="0"/>
          <w:bCs w:val="0"/>
          <w:color w:val="auto"/>
          <w:kern w:val="21"/>
          <w:sz w:val="32"/>
          <w:szCs w:val="32"/>
          <w:highlight w:val="none"/>
        </w:rPr>
        <w:t>）</w:t>
      </w:r>
      <w:r>
        <w:rPr>
          <w:rFonts w:hint="eastAsia" w:ascii="仿宋" w:hAnsi="仿宋" w:eastAsia="仿宋" w:cs="仿宋"/>
          <w:spacing w:val="0"/>
          <w:sz w:val="32"/>
          <w:szCs w:val="32"/>
          <w:lang w:val="en-US" w:eastAsia="zh-CN"/>
        </w:rPr>
        <w:t>2022</w:t>
      </w:r>
      <w:r>
        <w:rPr>
          <w:rFonts w:hint="eastAsia" w:ascii="仿宋_GB2312" w:hAnsi="仿宋_GB2312" w:eastAsia="仿宋_GB2312" w:cs="仿宋_GB2312"/>
          <w:color w:val="auto"/>
          <w:kern w:val="21"/>
          <w:sz w:val="32"/>
          <w:szCs w:val="32"/>
        </w:rPr>
        <w:t>年起，各级人民政府用于支持发展养老服务的社会福利事业彩票公益金比例不低于</w:t>
      </w:r>
      <w:r>
        <w:rPr>
          <w:rFonts w:hint="eastAsia" w:ascii="仿宋" w:hAnsi="仿宋" w:eastAsia="仿宋" w:cs="仿宋"/>
          <w:spacing w:val="0"/>
          <w:sz w:val="32"/>
          <w:szCs w:val="32"/>
          <w:lang w:val="en-US" w:eastAsia="zh-CN"/>
        </w:rPr>
        <w:t>55</w:t>
      </w:r>
      <w:r>
        <w:rPr>
          <w:rFonts w:hint="eastAsia" w:ascii="仿宋_GB2312" w:hAnsi="仿宋_GB2312" w:eastAsia="仿宋_GB2312" w:cs="仿宋_GB2312"/>
          <w:color w:val="auto"/>
          <w:kern w:val="21"/>
          <w:sz w:val="32"/>
          <w:szCs w:val="32"/>
        </w:rPr>
        <w:t>%。</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仿宋_GB2312" w:hAnsi="仿宋_GB2312" w:eastAsia="仿宋_GB2312" w:cs="仿宋_GB2312"/>
          <w:color w:val="auto"/>
          <w:kern w:val="21"/>
          <w:sz w:val="32"/>
          <w:szCs w:val="32"/>
        </w:rPr>
        <w:t>落实相关财税支持政策，</w:t>
      </w:r>
      <w:r>
        <w:rPr>
          <w:rFonts w:hint="eastAsia" w:ascii="仿宋_GB2312" w:hAnsi="仿宋_GB2312" w:eastAsia="仿宋_GB2312" w:cs="仿宋_GB2312"/>
          <w:color w:val="auto"/>
          <w:kern w:val="21"/>
          <w:sz w:val="32"/>
          <w:szCs w:val="32"/>
          <w:lang w:eastAsia="zh-CN"/>
        </w:rPr>
        <w:t>鼓</w:t>
      </w:r>
      <w:r>
        <w:rPr>
          <w:rFonts w:hint="eastAsia" w:ascii="仿宋_GB2312" w:hAnsi="仿宋_GB2312" w:eastAsia="仿宋_GB2312" w:cs="仿宋_GB2312"/>
          <w:color w:val="auto"/>
          <w:kern w:val="21"/>
          <w:sz w:val="32"/>
          <w:szCs w:val="32"/>
        </w:rPr>
        <w:t>励社会资金对老龄事业和老龄产业重点项目进行投入。</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财政局）</w:t>
      </w:r>
      <w:r>
        <w:rPr>
          <w:rFonts w:hint="eastAsia" w:ascii="仿宋_GB2312" w:hAnsi="仿宋_GB2312" w:eastAsia="仿宋_GB2312" w:cs="仿宋_GB2312"/>
          <w:strike w:val="0"/>
          <w:dstrike w:val="0"/>
          <w:color w:val="auto"/>
          <w:kern w:val="21"/>
          <w:sz w:val="32"/>
          <w:szCs w:val="32"/>
          <w:highlight w:val="none"/>
        </w:rPr>
        <w:t>对赡养负担重的零就业家庭成员，按规定优先安排</w:t>
      </w:r>
      <w:r>
        <w:rPr>
          <w:rFonts w:hint="eastAsia" w:ascii="仿宋_GB2312" w:hAnsi="仿宋_GB2312" w:eastAsia="仿宋_GB2312" w:cs="仿宋_GB2312"/>
          <w:strike w:val="0"/>
          <w:dstrike w:val="0"/>
          <w:color w:val="auto"/>
          <w:kern w:val="21"/>
          <w:sz w:val="32"/>
          <w:szCs w:val="32"/>
          <w:highlight w:val="none"/>
          <w:lang w:eastAsia="zh-CN"/>
        </w:rPr>
        <w:t>适合的就业岗位</w:t>
      </w:r>
      <w:r>
        <w:rPr>
          <w:rFonts w:hint="eastAsia" w:ascii="仿宋_GB2312" w:hAnsi="仿宋_GB2312" w:eastAsia="仿宋_GB2312" w:cs="仿宋_GB2312"/>
          <w:strike w:val="0"/>
          <w:dstrike w:val="0"/>
          <w:color w:val="auto"/>
          <w:kern w:val="21"/>
          <w:sz w:val="32"/>
          <w:szCs w:val="32"/>
          <w:highlight w:val="none"/>
        </w:rPr>
        <w:t>。</w:t>
      </w:r>
      <w:r>
        <w:rPr>
          <w:rFonts w:hint="eastAsia" w:ascii="黑体" w:hAnsi="黑体" w:eastAsia="黑体" w:cs="黑体"/>
          <w:b w:val="0"/>
          <w:bCs w:val="0"/>
          <w:strike w:val="0"/>
          <w:dstrike w:val="0"/>
          <w:color w:val="auto"/>
          <w:kern w:val="21"/>
          <w:sz w:val="32"/>
          <w:szCs w:val="32"/>
          <w:highlight w:val="none"/>
        </w:rPr>
        <w:t>（责任单位：</w:t>
      </w:r>
      <w:r>
        <w:rPr>
          <w:rFonts w:hint="eastAsia" w:ascii="黑体" w:hAnsi="黑体" w:eastAsia="黑体" w:cs="黑体"/>
          <w:b w:val="0"/>
          <w:bCs w:val="0"/>
          <w:strike w:val="0"/>
          <w:dstrike w:val="0"/>
          <w:color w:val="auto"/>
          <w:kern w:val="21"/>
          <w:sz w:val="32"/>
          <w:szCs w:val="32"/>
          <w:highlight w:val="none"/>
          <w:lang w:eastAsia="zh-CN"/>
        </w:rPr>
        <w:t>区</w:t>
      </w:r>
      <w:r>
        <w:rPr>
          <w:rFonts w:hint="eastAsia" w:ascii="黑体" w:hAnsi="黑体" w:eastAsia="黑体" w:cs="黑体"/>
          <w:b w:val="0"/>
          <w:bCs w:val="0"/>
          <w:strike w:val="0"/>
          <w:dstrike w:val="0"/>
          <w:color w:val="auto"/>
          <w:kern w:val="21"/>
          <w:sz w:val="32"/>
          <w:szCs w:val="32"/>
          <w:highlight w:val="none"/>
        </w:rPr>
        <w:t>人社局）</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b/>
          <w:bCs/>
          <w:color w:val="auto"/>
          <w:kern w:val="21"/>
          <w:sz w:val="32"/>
          <w:szCs w:val="32"/>
        </w:rPr>
      </w:pPr>
      <w:r>
        <w:rPr>
          <w:rFonts w:hint="eastAsia" w:ascii="楷体_GB2312" w:hAnsi="楷体_GB2312" w:eastAsia="楷体_GB2312" w:cs="楷体_GB2312"/>
          <w:color w:val="auto"/>
          <w:kern w:val="21"/>
          <w:sz w:val="32"/>
          <w:szCs w:val="32"/>
        </w:rPr>
        <w:t>（</w:t>
      </w:r>
      <w:r>
        <w:rPr>
          <w:rFonts w:hint="eastAsia" w:ascii="楷体_GB2312" w:hAnsi="楷体_GB2312" w:eastAsia="楷体_GB2312" w:cs="楷体_GB2312"/>
          <w:color w:val="auto"/>
          <w:kern w:val="21"/>
          <w:sz w:val="32"/>
          <w:szCs w:val="32"/>
          <w:lang w:eastAsia="zh-CN"/>
        </w:rPr>
        <w:t>二十</w:t>
      </w:r>
      <w:r>
        <w:rPr>
          <w:rFonts w:hint="eastAsia" w:ascii="楷体_GB2312" w:hAnsi="楷体_GB2312" w:eastAsia="楷体_GB2312" w:cs="楷体_GB2312"/>
          <w:color w:val="auto"/>
          <w:kern w:val="21"/>
          <w:sz w:val="32"/>
          <w:szCs w:val="32"/>
        </w:rPr>
        <w:t>）做好数据统计工作。</w:t>
      </w:r>
      <w:r>
        <w:rPr>
          <w:rFonts w:hint="eastAsia" w:ascii="仿宋_GB2312" w:hAnsi="仿宋_GB2312" w:eastAsia="仿宋_GB2312" w:cs="仿宋_GB2312"/>
          <w:color w:val="auto"/>
          <w:kern w:val="21"/>
          <w:sz w:val="32"/>
          <w:szCs w:val="32"/>
        </w:rPr>
        <w:t>贯彻落实国家、省</w:t>
      </w:r>
      <w:r>
        <w:rPr>
          <w:rFonts w:hint="eastAsia" w:ascii="仿宋_GB2312" w:hAnsi="仿宋_GB2312" w:eastAsia="仿宋_GB2312" w:cs="仿宋_GB2312"/>
          <w:color w:val="auto"/>
          <w:kern w:val="21"/>
          <w:sz w:val="32"/>
          <w:szCs w:val="32"/>
          <w:lang w:eastAsia="zh-CN"/>
        </w:rPr>
        <w:t>、市</w:t>
      </w:r>
      <w:r>
        <w:rPr>
          <w:rFonts w:hint="eastAsia" w:ascii="仿宋_GB2312" w:hAnsi="仿宋_GB2312" w:eastAsia="仿宋_GB2312" w:cs="仿宋_GB2312"/>
          <w:color w:val="auto"/>
          <w:kern w:val="21"/>
          <w:sz w:val="32"/>
          <w:szCs w:val="32"/>
        </w:rPr>
        <w:t>统计局有关老龄人口工作部署要求，做好年度常住老年人口数量、比重等主要数据统计工作和人口普查与人口变动抽样调查工作</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探索建立老年人群体数量、结构构成、健康状况、养老设施等相关的统计监测体系</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推进跨领域、跨部门、跨层级的涉老数据共享。</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铁西</w:t>
      </w:r>
      <w:r>
        <w:rPr>
          <w:rFonts w:hint="eastAsia" w:ascii="黑体" w:hAnsi="黑体" w:eastAsia="黑体" w:cs="黑体"/>
          <w:b w:val="0"/>
          <w:bCs w:val="0"/>
          <w:color w:val="auto"/>
          <w:kern w:val="21"/>
          <w:sz w:val="32"/>
          <w:szCs w:val="32"/>
        </w:rPr>
        <w:t>统计</w:t>
      </w:r>
      <w:r>
        <w:rPr>
          <w:rFonts w:hint="eastAsia" w:ascii="黑体" w:hAnsi="黑体" w:eastAsia="黑体" w:cs="黑体"/>
          <w:b w:val="0"/>
          <w:bCs w:val="0"/>
          <w:color w:val="auto"/>
          <w:kern w:val="21"/>
          <w:sz w:val="32"/>
          <w:szCs w:val="32"/>
          <w:lang w:eastAsia="zh-CN"/>
        </w:rPr>
        <w:t>分</w:t>
      </w:r>
      <w:r>
        <w:rPr>
          <w:rFonts w:hint="eastAsia" w:ascii="黑体" w:hAnsi="黑体" w:eastAsia="黑体" w:cs="黑体"/>
          <w:b w:val="0"/>
          <w:bCs w:val="0"/>
          <w:color w:val="auto"/>
          <w:kern w:val="21"/>
          <w:sz w:val="32"/>
          <w:szCs w:val="32"/>
        </w:rPr>
        <w:t>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民政局、</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卫健</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黑体" w:hAnsi="黑体" w:eastAsia="黑体" w:cs="黑体"/>
          <w:color w:val="auto"/>
          <w:kern w:val="21"/>
          <w:sz w:val="32"/>
          <w:szCs w:val="32"/>
        </w:rPr>
      </w:pPr>
      <w:r>
        <w:rPr>
          <w:rFonts w:hint="eastAsia" w:ascii="黑体" w:hAnsi="黑体" w:eastAsia="黑体" w:cs="黑体"/>
          <w:color w:val="auto"/>
          <w:kern w:val="21"/>
          <w:sz w:val="32"/>
          <w:szCs w:val="32"/>
        </w:rPr>
        <w:t>八、加强组织实施</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color w:val="auto"/>
          <w:kern w:val="21"/>
          <w:sz w:val="32"/>
          <w:szCs w:val="32"/>
        </w:rPr>
        <w:t>（二十</w:t>
      </w:r>
      <w:r>
        <w:rPr>
          <w:rFonts w:hint="eastAsia" w:ascii="楷体_GB2312" w:hAnsi="楷体_GB2312" w:eastAsia="楷体_GB2312" w:cs="楷体_GB2312"/>
          <w:color w:val="auto"/>
          <w:kern w:val="21"/>
          <w:sz w:val="32"/>
          <w:szCs w:val="32"/>
          <w:lang w:eastAsia="zh-CN"/>
        </w:rPr>
        <w:t>一</w:t>
      </w:r>
      <w:r>
        <w:rPr>
          <w:rFonts w:hint="eastAsia" w:ascii="楷体_GB2312" w:hAnsi="楷体_GB2312" w:eastAsia="楷体_GB2312" w:cs="楷体_GB2312"/>
          <w:color w:val="auto"/>
          <w:kern w:val="21"/>
          <w:sz w:val="32"/>
          <w:szCs w:val="32"/>
        </w:rPr>
        <w:t>）加强党对老龄工作的领导。</w:t>
      </w:r>
      <w:r>
        <w:rPr>
          <w:rFonts w:hint="eastAsia" w:ascii="仿宋" w:hAnsi="仿宋" w:eastAsia="仿宋" w:cs="仿宋"/>
          <w:color w:val="auto"/>
          <w:kern w:val="21"/>
          <w:sz w:val="32"/>
          <w:szCs w:val="32"/>
          <w:lang w:eastAsia="zh-CN"/>
        </w:rPr>
        <w:t>全区要高度</w:t>
      </w:r>
      <w:r>
        <w:rPr>
          <w:rFonts w:hint="eastAsia" w:ascii="仿宋_GB2312" w:hAnsi="仿宋_GB2312" w:eastAsia="仿宋_GB2312" w:cs="仿宋_GB2312"/>
          <w:color w:val="auto"/>
          <w:kern w:val="21"/>
          <w:sz w:val="32"/>
          <w:szCs w:val="32"/>
        </w:rPr>
        <w:t>重视并切实做好老龄工作，坚持党政主要负责人亲自抓、负总责，将老龄工作重点任务纳入重要议事日程，纳入经济社会发展规划。</w:t>
      </w:r>
      <w:r>
        <w:rPr>
          <w:rFonts w:hint="eastAsia" w:ascii="黑体" w:hAnsi="黑体" w:eastAsia="黑体" w:cs="黑体"/>
          <w:b w:val="0"/>
          <w:bCs w:val="0"/>
          <w:color w:val="auto"/>
          <w:kern w:val="21"/>
          <w:sz w:val="32"/>
          <w:szCs w:val="32"/>
        </w:rPr>
        <w:t>（责任单位：</w:t>
      </w:r>
      <w:r>
        <w:rPr>
          <w:rFonts w:hint="eastAsia" w:ascii="黑体" w:hAnsi="黑体" w:eastAsia="黑体" w:cs="黑体"/>
          <w:b w:val="0"/>
          <w:bCs w:val="0"/>
          <w:color w:val="auto"/>
          <w:kern w:val="21"/>
          <w:sz w:val="32"/>
          <w:szCs w:val="32"/>
          <w:lang w:eastAsia="zh-CN"/>
        </w:rPr>
        <w:t>区</w:t>
      </w:r>
      <w:r>
        <w:rPr>
          <w:rFonts w:hint="eastAsia" w:ascii="黑体" w:hAnsi="黑体" w:eastAsia="黑体" w:cs="黑体"/>
          <w:b w:val="0"/>
          <w:bCs w:val="0"/>
          <w:color w:val="auto"/>
          <w:kern w:val="21"/>
          <w:sz w:val="32"/>
          <w:szCs w:val="32"/>
        </w:rPr>
        <w:t>发改</w:t>
      </w:r>
      <w:r>
        <w:rPr>
          <w:rFonts w:hint="eastAsia" w:ascii="黑体" w:hAnsi="黑体" w:eastAsia="黑体" w:cs="黑体"/>
          <w:b w:val="0"/>
          <w:bCs w:val="0"/>
          <w:color w:val="auto"/>
          <w:kern w:val="21"/>
          <w:sz w:val="32"/>
          <w:szCs w:val="32"/>
          <w:lang w:eastAsia="zh-CN"/>
        </w:rPr>
        <w:t>局</w:t>
      </w:r>
      <w:r>
        <w:rPr>
          <w:rFonts w:hint="eastAsia" w:ascii="黑体" w:hAnsi="黑体" w:eastAsia="黑体" w:cs="黑体"/>
          <w:b w:val="0"/>
          <w:bCs w:val="0"/>
          <w:color w:val="auto"/>
          <w:kern w:val="21"/>
          <w:sz w:val="32"/>
          <w:szCs w:val="32"/>
        </w:rPr>
        <w:t>）</w:t>
      </w:r>
      <w:r>
        <w:rPr>
          <w:rFonts w:hint="eastAsia" w:ascii="仿宋_GB2312" w:hAnsi="仿宋_GB2312" w:eastAsia="仿宋_GB2312" w:cs="仿宋_GB2312"/>
          <w:color w:val="auto"/>
          <w:kern w:val="21"/>
          <w:sz w:val="32"/>
          <w:szCs w:val="32"/>
        </w:rPr>
        <w:t>各相关部门要加大制度创新、政策供给、财政投入力度，完善积极应对人口老龄化制度</w:t>
      </w:r>
      <w:r>
        <w:rPr>
          <w:rFonts w:hint="eastAsia" w:ascii="仿宋_GB2312" w:hAnsi="仿宋_GB2312" w:eastAsia="仿宋_GB2312" w:cs="仿宋_GB2312"/>
          <w:color w:val="auto"/>
          <w:kern w:val="21"/>
          <w:sz w:val="32"/>
          <w:szCs w:val="32"/>
          <w:lang w:eastAsia="zh-CN"/>
        </w:rPr>
        <w:t>机制</w:t>
      </w:r>
      <w:r>
        <w:rPr>
          <w:rFonts w:hint="eastAsia" w:ascii="仿宋_GB2312" w:hAnsi="仿宋_GB2312" w:eastAsia="仿宋_GB2312" w:cs="仿宋_GB2312"/>
          <w:color w:val="auto"/>
          <w:kern w:val="21"/>
          <w:sz w:val="32"/>
          <w:szCs w:val="32"/>
        </w:rPr>
        <w:t>，为推进老龄事业发展奠定坚实基础</w:t>
      </w:r>
      <w:r>
        <w:rPr>
          <w:rFonts w:hint="eastAsia" w:ascii="仿宋_GB2312" w:hAnsi="仿宋_GB2312" w:eastAsia="仿宋_GB2312" w:cs="仿宋_GB2312"/>
          <w:color w:val="auto"/>
          <w:kern w:val="21"/>
          <w:sz w:val="32"/>
          <w:szCs w:val="32"/>
          <w:lang w:eastAsia="zh-CN"/>
        </w:rPr>
        <w:t>。</w:t>
      </w:r>
      <w:r>
        <w:rPr>
          <w:rFonts w:hint="eastAsia" w:ascii="黑体" w:hAnsi="黑体" w:eastAsia="黑体" w:cs="黑体"/>
          <w:b w:val="0"/>
          <w:bCs w:val="0"/>
          <w:color w:val="auto"/>
          <w:kern w:val="21"/>
          <w:sz w:val="32"/>
          <w:szCs w:val="32"/>
        </w:rPr>
        <w:t>（责任单位：各相关部门）</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val="0"/>
          <w:color w:val="auto"/>
          <w:kern w:val="21"/>
          <w:sz w:val="32"/>
          <w:szCs w:val="32"/>
          <w:lang w:val="en-US" w:eastAsia="zh-CN"/>
        </w:rPr>
      </w:pPr>
      <w:r>
        <w:rPr>
          <w:rFonts w:hint="eastAsia" w:ascii="楷体_GB2312" w:hAnsi="楷体_GB2312" w:eastAsia="楷体_GB2312" w:cs="楷体_GB2312"/>
          <w:color w:val="auto"/>
          <w:kern w:val="21"/>
          <w:sz w:val="32"/>
          <w:szCs w:val="32"/>
        </w:rPr>
        <w:t>（二十</w:t>
      </w:r>
      <w:r>
        <w:rPr>
          <w:rFonts w:hint="eastAsia" w:ascii="楷体_GB2312" w:hAnsi="楷体_GB2312" w:eastAsia="楷体_GB2312" w:cs="楷体_GB2312"/>
          <w:color w:val="auto"/>
          <w:kern w:val="21"/>
          <w:sz w:val="32"/>
          <w:szCs w:val="32"/>
          <w:lang w:eastAsia="zh-CN"/>
        </w:rPr>
        <w:t>二</w:t>
      </w:r>
      <w:r>
        <w:rPr>
          <w:rFonts w:hint="eastAsia" w:ascii="楷体_GB2312" w:hAnsi="楷体_GB2312" w:eastAsia="楷体_GB2312" w:cs="楷体_GB2312"/>
          <w:color w:val="auto"/>
          <w:kern w:val="21"/>
          <w:sz w:val="32"/>
          <w:szCs w:val="32"/>
        </w:rPr>
        <w:t>）落实工作责任。</w:t>
      </w:r>
      <w:r>
        <w:rPr>
          <w:rFonts w:hint="eastAsia" w:ascii="仿宋_GB2312" w:hAnsi="仿宋_GB2312" w:eastAsia="仿宋_GB2312" w:cs="仿宋_GB2312"/>
          <w:color w:val="auto"/>
          <w:kern w:val="21"/>
          <w:sz w:val="32"/>
          <w:szCs w:val="32"/>
        </w:rPr>
        <w:t>完善各级老龄组织体系，建立强有力的新时代老龄工作保障机制。发挥</w:t>
      </w:r>
      <w:r>
        <w:rPr>
          <w:rFonts w:hint="eastAsia" w:ascii="仿宋_GB2312" w:hAnsi="仿宋_GB2312" w:eastAsia="仿宋_GB2312" w:cs="仿宋_GB2312"/>
          <w:color w:val="auto"/>
          <w:kern w:val="21"/>
          <w:sz w:val="32"/>
          <w:szCs w:val="32"/>
          <w:lang w:eastAsia="zh-CN"/>
        </w:rPr>
        <w:t>区</w:t>
      </w:r>
      <w:r>
        <w:rPr>
          <w:rFonts w:hint="eastAsia" w:ascii="仿宋_GB2312" w:hAnsi="仿宋_GB2312" w:eastAsia="仿宋_GB2312" w:cs="仿宋_GB2312"/>
          <w:color w:val="auto"/>
          <w:kern w:val="21"/>
          <w:sz w:val="32"/>
          <w:szCs w:val="32"/>
        </w:rPr>
        <w:t>老龄工作委员会及其办公室的统筹协调作用，强化推动落实、监督检查等职能。各成员单位要按照任务分工，各司其职</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主动作为，扎实推进工作任务落实</w:t>
      </w:r>
      <w:r>
        <w:rPr>
          <w:rFonts w:hint="eastAsia" w:ascii="仿宋_GB2312" w:hAnsi="仿宋_GB2312" w:eastAsia="仿宋_GB2312" w:cs="仿宋_GB2312"/>
          <w:color w:val="auto"/>
          <w:kern w:val="21"/>
          <w:sz w:val="32"/>
          <w:szCs w:val="32"/>
          <w:lang w:eastAsia="zh-CN"/>
        </w:rPr>
        <w:t>。各相关部门要</w:t>
      </w:r>
      <w:r>
        <w:rPr>
          <w:rFonts w:hint="eastAsia" w:ascii="仿宋_GB2312" w:hAnsi="仿宋_GB2312" w:eastAsia="仿宋_GB2312" w:cs="仿宋_GB2312"/>
          <w:color w:val="auto"/>
          <w:kern w:val="21"/>
          <w:sz w:val="32"/>
          <w:szCs w:val="32"/>
        </w:rPr>
        <w:t>建立积极应对人口老龄化的指标评价体系，加强对老龄事业发展的监测和评估</w:t>
      </w:r>
      <w:r>
        <w:rPr>
          <w:rFonts w:hint="eastAsia" w:ascii="仿宋_GB2312" w:hAnsi="仿宋_GB2312" w:eastAsia="仿宋_GB2312" w:cs="仿宋_GB2312"/>
          <w:color w:val="auto"/>
          <w:kern w:val="21"/>
          <w:sz w:val="32"/>
          <w:szCs w:val="32"/>
          <w:lang w:eastAsia="zh-CN"/>
        </w:rPr>
        <w:t>，并</w:t>
      </w:r>
      <w:r>
        <w:rPr>
          <w:rFonts w:hint="eastAsia" w:ascii="仿宋_GB2312" w:hAnsi="仿宋_GB2312" w:eastAsia="仿宋_GB2312" w:cs="仿宋_GB2312"/>
          <w:color w:val="auto"/>
          <w:kern w:val="21"/>
          <w:sz w:val="32"/>
          <w:szCs w:val="32"/>
        </w:rPr>
        <w:t>将老龄工作重点任务落实情况纳入工作督查和考核范围，适时开展督查督办。</w:t>
      </w:r>
      <w:r>
        <w:rPr>
          <w:rFonts w:hint="eastAsia" w:ascii="黑体" w:hAnsi="黑体" w:eastAsia="黑体" w:cs="黑体"/>
          <w:b w:val="0"/>
          <w:bCs w:val="0"/>
          <w:color w:val="auto"/>
          <w:kern w:val="21"/>
          <w:sz w:val="32"/>
          <w:szCs w:val="32"/>
        </w:rPr>
        <w:t>（责任单位：各相关部门）</w:t>
      </w: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jc w:val="both"/>
        <w:textAlignment w:val="auto"/>
        <w:outlineLvl w:val="9"/>
        <w:rPr>
          <w:rFonts w:hint="eastAsia"/>
          <w:color w:val="auto"/>
          <w:sz w:val="32"/>
          <w:szCs w:val="32"/>
          <w:lang w:val="en-US" w:eastAsia="zh-CN"/>
        </w:rPr>
      </w:pPr>
      <w:r>
        <w:rPr>
          <w:rFonts w:hint="eastAsia" w:ascii="楷体_GB2312" w:hAnsi="楷体_GB2312" w:eastAsia="楷体_GB2312" w:cs="楷体_GB2312"/>
          <w:color w:val="auto"/>
          <w:kern w:val="21"/>
          <w:sz w:val="32"/>
          <w:szCs w:val="32"/>
        </w:rPr>
        <w:t>（二十</w:t>
      </w:r>
      <w:r>
        <w:rPr>
          <w:rFonts w:hint="eastAsia" w:ascii="楷体_GB2312" w:hAnsi="楷体_GB2312" w:eastAsia="楷体_GB2312" w:cs="楷体_GB2312"/>
          <w:color w:val="auto"/>
          <w:kern w:val="21"/>
          <w:sz w:val="32"/>
          <w:szCs w:val="32"/>
          <w:lang w:eastAsia="zh-CN"/>
        </w:rPr>
        <w:t>三</w:t>
      </w:r>
      <w:r>
        <w:rPr>
          <w:rFonts w:hint="eastAsia" w:ascii="楷体_GB2312" w:hAnsi="楷体_GB2312" w:eastAsia="楷体_GB2312" w:cs="楷体_GB2312"/>
          <w:color w:val="auto"/>
          <w:kern w:val="21"/>
          <w:sz w:val="32"/>
          <w:szCs w:val="32"/>
        </w:rPr>
        <w:t>）广泛动员社会参与。</w:t>
      </w:r>
      <w:r>
        <w:rPr>
          <w:rFonts w:hint="eastAsia" w:ascii="仿宋_GB2312" w:hAnsi="仿宋_GB2312" w:eastAsia="仿宋_GB2312" w:cs="仿宋_GB2312"/>
          <w:color w:val="auto"/>
          <w:kern w:val="21"/>
          <w:sz w:val="32"/>
          <w:szCs w:val="32"/>
        </w:rPr>
        <w:t>加大社会宣传和动员力度，科学引导社会各方力量</w:t>
      </w:r>
      <w:r>
        <w:rPr>
          <w:rFonts w:hint="eastAsia" w:ascii="仿宋_GB2312" w:hAnsi="仿宋_GB2312" w:eastAsia="仿宋_GB2312" w:cs="仿宋_GB2312"/>
          <w:color w:val="auto"/>
          <w:kern w:val="21"/>
          <w:sz w:val="32"/>
          <w:szCs w:val="32"/>
          <w:lang w:eastAsia="zh-CN"/>
        </w:rPr>
        <w:t>主动</w:t>
      </w:r>
      <w:r>
        <w:rPr>
          <w:rFonts w:hint="eastAsia" w:ascii="仿宋_GB2312" w:hAnsi="仿宋_GB2312" w:eastAsia="仿宋_GB2312" w:cs="仿宋_GB2312"/>
          <w:color w:val="auto"/>
          <w:kern w:val="21"/>
          <w:sz w:val="32"/>
          <w:szCs w:val="32"/>
        </w:rPr>
        <w:t>参与老龄事业发展。在重要节日期间，</w:t>
      </w:r>
      <w:r>
        <w:rPr>
          <w:rFonts w:hint="eastAsia" w:ascii="仿宋_GB2312" w:hAnsi="仿宋_GB2312" w:eastAsia="仿宋_GB2312" w:cs="仿宋_GB2312"/>
          <w:color w:val="auto"/>
          <w:kern w:val="21"/>
          <w:sz w:val="32"/>
          <w:szCs w:val="32"/>
          <w:lang w:eastAsia="zh-CN"/>
        </w:rPr>
        <w:t>积极</w:t>
      </w:r>
      <w:r>
        <w:rPr>
          <w:rFonts w:hint="eastAsia" w:ascii="仿宋_GB2312" w:hAnsi="仿宋_GB2312" w:eastAsia="仿宋_GB2312" w:cs="仿宋_GB2312"/>
          <w:color w:val="auto"/>
          <w:kern w:val="21"/>
          <w:sz w:val="32"/>
          <w:szCs w:val="32"/>
        </w:rPr>
        <w:t>开展尊老、爱老、敬老活动。发挥工会、共青团、妇联、残联等群团组织和老年人相关社会组织、机关企事业单位的作用，形成全社会共同参与的工作格局。</w:t>
      </w:r>
      <w:r>
        <w:rPr>
          <w:rFonts w:hint="eastAsia" w:ascii="黑体" w:hAnsi="黑体" w:eastAsia="黑体" w:cs="黑体"/>
          <w:b w:val="0"/>
          <w:bCs w:val="0"/>
          <w:color w:val="auto"/>
          <w:kern w:val="21"/>
          <w:sz w:val="32"/>
          <w:szCs w:val="32"/>
        </w:rPr>
        <w:t>（责任单位：各相关部门）</w:t>
      </w:r>
    </w:p>
    <w:p>
      <w:pPr>
        <w:pStyle w:val="7"/>
        <w:keepNext w:val="0"/>
        <w:keepLines w:val="0"/>
        <w:pageBreakBefore w:val="0"/>
        <w:widowControl w:val="0"/>
        <w:kinsoku/>
        <w:wordWrap/>
        <w:overflowPunct/>
        <w:topLinePunct w:val="0"/>
        <w:autoSpaceDE/>
        <w:autoSpaceDN/>
        <w:bidi w:val="0"/>
        <w:adjustRightInd/>
        <w:snapToGrid/>
        <w:spacing w:after="0" w:line="20" w:lineRule="exact"/>
        <w:textAlignment w:val="auto"/>
        <w:rPr>
          <w:rFonts w:hint="eastAsia"/>
          <w:color w:val="000000" w:themeColor="text1"/>
          <w:lang w:val="en-US" w:eastAsia="zh-CN"/>
          <w14:textFill>
            <w14:solidFill>
              <w14:schemeClr w14:val="tx1"/>
            </w14:solidFill>
          </w14:textFill>
        </w:rPr>
      </w:pPr>
    </w:p>
    <w:sectPr>
      <w:headerReference r:id="rId3" w:type="default"/>
      <w:footerReference r:id="rId4" w:type="default"/>
      <w:pgSz w:w="11906" w:h="16838"/>
      <w:pgMar w:top="1417" w:right="1417" w:bottom="1417" w:left="1417" w:header="851" w:footer="1871" w:gutter="0"/>
      <w:pgBorders>
        <w:top w:val="none" w:sz="0" w:space="0"/>
        <w:left w:val="none" w:sz="0" w:space="0"/>
        <w:bottom w:val="none" w:sz="0" w:space="0"/>
        <w:right w:val="none" w:sz="0" w:space="0"/>
      </w:pgBorders>
      <w:pgNumType w:fmt="numberInDash"/>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Arial Unicode MS"/>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afterLines="0"/>
                            <w:ind w:right="420" w:rightChars="200"/>
                            <w:textAlignment w:val="auto"/>
                            <w:outlineLvl w:val="9"/>
                            <w:rPr>
                              <w:lang w:val="en-US"/>
                            </w:rPr>
                          </w:pPr>
                          <w:r>
                            <w:rPr>
                              <w:rFonts w:hint="default" w:ascii="Times New Roman" w:hAnsi="Times New Roman" w:eastAsia="宋体" w:cs="Times New Roman"/>
                              <w:sz w:val="24"/>
                              <w:szCs w:val="24"/>
                            </w:rPr>
                            <w:fldChar w:fldCharType="begin"/>
                          </w:r>
                          <w:r>
                            <w:rPr>
                              <w:rStyle w:val="24"/>
                              <w:rFonts w:hint="default" w:ascii="Times New Roman" w:hAnsi="Times New Roman" w:eastAsia="宋体" w:cs="Times New Roman"/>
                              <w:sz w:val="24"/>
                              <w:szCs w:val="24"/>
                            </w:rPr>
                            <w:instrText xml:space="preserve"> PAGE  </w:instrText>
                          </w:r>
                          <w:r>
                            <w:rPr>
                              <w:rFonts w:hint="default" w:ascii="Times New Roman" w:hAnsi="Times New Roman" w:eastAsia="宋体" w:cs="Times New Roman"/>
                              <w:sz w:val="24"/>
                              <w:szCs w:val="24"/>
                            </w:rPr>
                            <w:fldChar w:fldCharType="separate"/>
                          </w:r>
                          <w:r>
                            <w:rPr>
                              <w:rStyle w:val="24"/>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after="0" w:afterLines="0"/>
                      <w:ind w:right="420" w:rightChars="200"/>
                      <w:textAlignment w:val="auto"/>
                      <w:outlineLvl w:val="9"/>
                      <w:rPr>
                        <w:lang w:val="en-US"/>
                      </w:rPr>
                    </w:pPr>
                    <w:r>
                      <w:rPr>
                        <w:rFonts w:hint="default" w:ascii="Times New Roman" w:hAnsi="Times New Roman" w:eastAsia="宋体" w:cs="Times New Roman"/>
                        <w:sz w:val="24"/>
                        <w:szCs w:val="24"/>
                      </w:rPr>
                      <w:fldChar w:fldCharType="begin"/>
                    </w:r>
                    <w:r>
                      <w:rPr>
                        <w:rStyle w:val="24"/>
                        <w:rFonts w:hint="default" w:ascii="Times New Roman" w:hAnsi="Times New Roman" w:eastAsia="宋体" w:cs="Times New Roman"/>
                        <w:sz w:val="24"/>
                        <w:szCs w:val="24"/>
                      </w:rPr>
                      <w:instrText xml:space="preserve"> PAGE  </w:instrText>
                    </w:r>
                    <w:r>
                      <w:rPr>
                        <w:rFonts w:hint="default" w:ascii="Times New Roman" w:hAnsi="Times New Roman" w:eastAsia="宋体" w:cs="Times New Roman"/>
                        <w:sz w:val="24"/>
                        <w:szCs w:val="24"/>
                      </w:rPr>
                      <w:fldChar w:fldCharType="separate"/>
                    </w:r>
                    <w:r>
                      <w:rPr>
                        <w:rStyle w:val="24"/>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31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DBhM2MwZjU1MTdmZTQ2ZjhiZmJiZWMxMzY5MjAifQ=="/>
  </w:docVars>
  <w:rsids>
    <w:rsidRoot w:val="24330B4E"/>
    <w:rsid w:val="00006F8B"/>
    <w:rsid w:val="000240DF"/>
    <w:rsid w:val="00071B9F"/>
    <w:rsid w:val="000806FA"/>
    <w:rsid w:val="0009480B"/>
    <w:rsid w:val="000A353B"/>
    <w:rsid w:val="000A515A"/>
    <w:rsid w:val="000C2EE8"/>
    <w:rsid w:val="000D7924"/>
    <w:rsid w:val="000F42E3"/>
    <w:rsid w:val="000F5770"/>
    <w:rsid w:val="00100D79"/>
    <w:rsid w:val="00101F63"/>
    <w:rsid w:val="00152EC8"/>
    <w:rsid w:val="00164F8E"/>
    <w:rsid w:val="00190F83"/>
    <w:rsid w:val="001930AF"/>
    <w:rsid w:val="001D07E5"/>
    <w:rsid w:val="001D1204"/>
    <w:rsid w:val="001D35A3"/>
    <w:rsid w:val="00200A1C"/>
    <w:rsid w:val="00203BE3"/>
    <w:rsid w:val="00212F7A"/>
    <w:rsid w:val="0022381B"/>
    <w:rsid w:val="00223D66"/>
    <w:rsid w:val="002325F7"/>
    <w:rsid w:val="002446E7"/>
    <w:rsid w:val="002505F5"/>
    <w:rsid w:val="002563F3"/>
    <w:rsid w:val="002838D1"/>
    <w:rsid w:val="00287516"/>
    <w:rsid w:val="002A21C8"/>
    <w:rsid w:val="002B1FCA"/>
    <w:rsid w:val="002D2F01"/>
    <w:rsid w:val="002E55B8"/>
    <w:rsid w:val="002F2B97"/>
    <w:rsid w:val="00317ACA"/>
    <w:rsid w:val="00331BED"/>
    <w:rsid w:val="00332FCE"/>
    <w:rsid w:val="00346A06"/>
    <w:rsid w:val="00393F23"/>
    <w:rsid w:val="003A3F5B"/>
    <w:rsid w:val="003B5B44"/>
    <w:rsid w:val="0041144C"/>
    <w:rsid w:val="00414829"/>
    <w:rsid w:val="00417EF4"/>
    <w:rsid w:val="0042091D"/>
    <w:rsid w:val="00495FDC"/>
    <w:rsid w:val="004D1931"/>
    <w:rsid w:val="004D39CB"/>
    <w:rsid w:val="004D4993"/>
    <w:rsid w:val="004E2AEA"/>
    <w:rsid w:val="00510D73"/>
    <w:rsid w:val="005202A3"/>
    <w:rsid w:val="0054292D"/>
    <w:rsid w:val="005A6A54"/>
    <w:rsid w:val="005B70AB"/>
    <w:rsid w:val="005C193D"/>
    <w:rsid w:val="005E6E99"/>
    <w:rsid w:val="00601BB5"/>
    <w:rsid w:val="00606A2C"/>
    <w:rsid w:val="00613AE7"/>
    <w:rsid w:val="0064529D"/>
    <w:rsid w:val="00664B6E"/>
    <w:rsid w:val="00695D73"/>
    <w:rsid w:val="0069793E"/>
    <w:rsid w:val="006A1948"/>
    <w:rsid w:val="006A55D0"/>
    <w:rsid w:val="006B7278"/>
    <w:rsid w:val="006C1DB7"/>
    <w:rsid w:val="006D603F"/>
    <w:rsid w:val="006E3F44"/>
    <w:rsid w:val="00712E7C"/>
    <w:rsid w:val="0074405A"/>
    <w:rsid w:val="00753697"/>
    <w:rsid w:val="00781CDC"/>
    <w:rsid w:val="00793BBC"/>
    <w:rsid w:val="0079567E"/>
    <w:rsid w:val="007A2099"/>
    <w:rsid w:val="007A30DF"/>
    <w:rsid w:val="007D5B88"/>
    <w:rsid w:val="007E0D31"/>
    <w:rsid w:val="008056ED"/>
    <w:rsid w:val="00824F0C"/>
    <w:rsid w:val="00830496"/>
    <w:rsid w:val="0084073F"/>
    <w:rsid w:val="00883231"/>
    <w:rsid w:val="008A3028"/>
    <w:rsid w:val="008C4B85"/>
    <w:rsid w:val="008C4C2F"/>
    <w:rsid w:val="008C4C9F"/>
    <w:rsid w:val="008F4033"/>
    <w:rsid w:val="00922197"/>
    <w:rsid w:val="00930786"/>
    <w:rsid w:val="0094191E"/>
    <w:rsid w:val="009462A4"/>
    <w:rsid w:val="00946EC6"/>
    <w:rsid w:val="00962BE9"/>
    <w:rsid w:val="009C06EE"/>
    <w:rsid w:val="009E0277"/>
    <w:rsid w:val="009E2EBC"/>
    <w:rsid w:val="009F55FE"/>
    <w:rsid w:val="00A122AE"/>
    <w:rsid w:val="00A12817"/>
    <w:rsid w:val="00A12AF8"/>
    <w:rsid w:val="00A27CBE"/>
    <w:rsid w:val="00A31991"/>
    <w:rsid w:val="00A81094"/>
    <w:rsid w:val="00AA0583"/>
    <w:rsid w:val="00AC37C0"/>
    <w:rsid w:val="00AD7AD7"/>
    <w:rsid w:val="00AF2661"/>
    <w:rsid w:val="00B15C7F"/>
    <w:rsid w:val="00B232B6"/>
    <w:rsid w:val="00B26369"/>
    <w:rsid w:val="00B26895"/>
    <w:rsid w:val="00B270C8"/>
    <w:rsid w:val="00B5350E"/>
    <w:rsid w:val="00B91DA1"/>
    <w:rsid w:val="00B95861"/>
    <w:rsid w:val="00C226F1"/>
    <w:rsid w:val="00C245E2"/>
    <w:rsid w:val="00C301BB"/>
    <w:rsid w:val="00C53C75"/>
    <w:rsid w:val="00C62984"/>
    <w:rsid w:val="00C677D9"/>
    <w:rsid w:val="00C848B1"/>
    <w:rsid w:val="00C86DEB"/>
    <w:rsid w:val="00C96BFA"/>
    <w:rsid w:val="00CA27FB"/>
    <w:rsid w:val="00CD3D98"/>
    <w:rsid w:val="00D0018B"/>
    <w:rsid w:val="00D00A01"/>
    <w:rsid w:val="00D26142"/>
    <w:rsid w:val="00D718A6"/>
    <w:rsid w:val="00D7384C"/>
    <w:rsid w:val="00D9379B"/>
    <w:rsid w:val="00D93D0F"/>
    <w:rsid w:val="00DA4399"/>
    <w:rsid w:val="00DB0E66"/>
    <w:rsid w:val="00DC40AD"/>
    <w:rsid w:val="00E03D73"/>
    <w:rsid w:val="00E4484A"/>
    <w:rsid w:val="00E72510"/>
    <w:rsid w:val="00E7330F"/>
    <w:rsid w:val="00EA540F"/>
    <w:rsid w:val="00EA7136"/>
    <w:rsid w:val="00ED5465"/>
    <w:rsid w:val="00EF58D0"/>
    <w:rsid w:val="00F05F58"/>
    <w:rsid w:val="00F158AE"/>
    <w:rsid w:val="00F631B4"/>
    <w:rsid w:val="00F65884"/>
    <w:rsid w:val="00F75BE3"/>
    <w:rsid w:val="00F775A2"/>
    <w:rsid w:val="00F865AB"/>
    <w:rsid w:val="00F87160"/>
    <w:rsid w:val="00F957C4"/>
    <w:rsid w:val="00FD078D"/>
    <w:rsid w:val="0129173D"/>
    <w:rsid w:val="01642314"/>
    <w:rsid w:val="019A235D"/>
    <w:rsid w:val="01A70AE8"/>
    <w:rsid w:val="023B0DB8"/>
    <w:rsid w:val="028D28EC"/>
    <w:rsid w:val="02C7641E"/>
    <w:rsid w:val="02C90DDE"/>
    <w:rsid w:val="03BB6210"/>
    <w:rsid w:val="04497700"/>
    <w:rsid w:val="04842C0A"/>
    <w:rsid w:val="05790792"/>
    <w:rsid w:val="05AD7DDA"/>
    <w:rsid w:val="06450692"/>
    <w:rsid w:val="06754E39"/>
    <w:rsid w:val="070103DE"/>
    <w:rsid w:val="0708187F"/>
    <w:rsid w:val="073342D7"/>
    <w:rsid w:val="075B65F5"/>
    <w:rsid w:val="0769289E"/>
    <w:rsid w:val="0772438D"/>
    <w:rsid w:val="085D5AE7"/>
    <w:rsid w:val="087E15BA"/>
    <w:rsid w:val="089318AF"/>
    <w:rsid w:val="09650BA2"/>
    <w:rsid w:val="09793868"/>
    <w:rsid w:val="09B353F9"/>
    <w:rsid w:val="09BA00EB"/>
    <w:rsid w:val="09BD80FA"/>
    <w:rsid w:val="0A607B99"/>
    <w:rsid w:val="0A7D3302"/>
    <w:rsid w:val="0A9A6B7F"/>
    <w:rsid w:val="0AFE73C3"/>
    <w:rsid w:val="0B335AF7"/>
    <w:rsid w:val="0B93339B"/>
    <w:rsid w:val="0BCC3E24"/>
    <w:rsid w:val="0C075345"/>
    <w:rsid w:val="0C957570"/>
    <w:rsid w:val="0C9F3BE1"/>
    <w:rsid w:val="0CFBCF92"/>
    <w:rsid w:val="0D181512"/>
    <w:rsid w:val="0E095225"/>
    <w:rsid w:val="0E6648FE"/>
    <w:rsid w:val="0EB04DDE"/>
    <w:rsid w:val="0EB9785E"/>
    <w:rsid w:val="0F2E2E4B"/>
    <w:rsid w:val="0F307991"/>
    <w:rsid w:val="0F666248"/>
    <w:rsid w:val="0FBF0BE5"/>
    <w:rsid w:val="0FCC70AF"/>
    <w:rsid w:val="0FDB255C"/>
    <w:rsid w:val="0FEFA4F8"/>
    <w:rsid w:val="0FF7D166"/>
    <w:rsid w:val="0FF9BFBB"/>
    <w:rsid w:val="10351D05"/>
    <w:rsid w:val="10BA56ED"/>
    <w:rsid w:val="11C26D7C"/>
    <w:rsid w:val="11D84431"/>
    <w:rsid w:val="11E41088"/>
    <w:rsid w:val="11E7150C"/>
    <w:rsid w:val="120E4821"/>
    <w:rsid w:val="12147A05"/>
    <w:rsid w:val="12590F4C"/>
    <w:rsid w:val="1273123F"/>
    <w:rsid w:val="13374B01"/>
    <w:rsid w:val="13833F28"/>
    <w:rsid w:val="13ED5DD2"/>
    <w:rsid w:val="13FF32BB"/>
    <w:rsid w:val="14843D14"/>
    <w:rsid w:val="149D7C4F"/>
    <w:rsid w:val="14AE1E75"/>
    <w:rsid w:val="14E31122"/>
    <w:rsid w:val="14E84CF6"/>
    <w:rsid w:val="14E974E8"/>
    <w:rsid w:val="14ED1146"/>
    <w:rsid w:val="150C1E54"/>
    <w:rsid w:val="1598092D"/>
    <w:rsid w:val="15D867AD"/>
    <w:rsid w:val="16367263"/>
    <w:rsid w:val="16C64858"/>
    <w:rsid w:val="172A6270"/>
    <w:rsid w:val="174045DB"/>
    <w:rsid w:val="175D5180"/>
    <w:rsid w:val="17605F04"/>
    <w:rsid w:val="177E3A1D"/>
    <w:rsid w:val="17AF8DEF"/>
    <w:rsid w:val="17D71836"/>
    <w:rsid w:val="17EB23FB"/>
    <w:rsid w:val="17EF5E15"/>
    <w:rsid w:val="17F63DE4"/>
    <w:rsid w:val="180008B9"/>
    <w:rsid w:val="180B318F"/>
    <w:rsid w:val="18775BEA"/>
    <w:rsid w:val="18F00FA1"/>
    <w:rsid w:val="18F939BE"/>
    <w:rsid w:val="196D4CD3"/>
    <w:rsid w:val="19950123"/>
    <w:rsid w:val="199C088C"/>
    <w:rsid w:val="19A370D2"/>
    <w:rsid w:val="1A037389"/>
    <w:rsid w:val="1A134258"/>
    <w:rsid w:val="1A1E49AB"/>
    <w:rsid w:val="1A28272E"/>
    <w:rsid w:val="1A4C059F"/>
    <w:rsid w:val="1A852188"/>
    <w:rsid w:val="1A896AA2"/>
    <w:rsid w:val="1B924476"/>
    <w:rsid w:val="1BBC26CD"/>
    <w:rsid w:val="1BEE6D2B"/>
    <w:rsid w:val="1BF27833"/>
    <w:rsid w:val="1C224C26"/>
    <w:rsid w:val="1C2654A3"/>
    <w:rsid w:val="1C435B53"/>
    <w:rsid w:val="1D28626C"/>
    <w:rsid w:val="1D2A798B"/>
    <w:rsid w:val="1D4B6985"/>
    <w:rsid w:val="1DA6D23D"/>
    <w:rsid w:val="1DAFCD4D"/>
    <w:rsid w:val="1DD421E5"/>
    <w:rsid w:val="1DFDB933"/>
    <w:rsid w:val="1E1A4FE8"/>
    <w:rsid w:val="1E773C37"/>
    <w:rsid w:val="1E831280"/>
    <w:rsid w:val="1EFB114A"/>
    <w:rsid w:val="1F0A1D41"/>
    <w:rsid w:val="1F3C72B6"/>
    <w:rsid w:val="1F9923D4"/>
    <w:rsid w:val="1FDF57D8"/>
    <w:rsid w:val="1FEE92FB"/>
    <w:rsid w:val="1FFBC366"/>
    <w:rsid w:val="1FFEA543"/>
    <w:rsid w:val="1FFF59C1"/>
    <w:rsid w:val="1FFF7CF0"/>
    <w:rsid w:val="20A65B13"/>
    <w:rsid w:val="214844A0"/>
    <w:rsid w:val="21C978F2"/>
    <w:rsid w:val="22B32B0E"/>
    <w:rsid w:val="22E06CA1"/>
    <w:rsid w:val="23AD40A0"/>
    <w:rsid w:val="23E12531"/>
    <w:rsid w:val="241A0984"/>
    <w:rsid w:val="24330B4E"/>
    <w:rsid w:val="24374FE7"/>
    <w:rsid w:val="243F3E9B"/>
    <w:rsid w:val="244D28C2"/>
    <w:rsid w:val="246061DA"/>
    <w:rsid w:val="246A0F18"/>
    <w:rsid w:val="246D1AC2"/>
    <w:rsid w:val="24F5771F"/>
    <w:rsid w:val="25070E5D"/>
    <w:rsid w:val="251E7664"/>
    <w:rsid w:val="2527694C"/>
    <w:rsid w:val="25A81F0B"/>
    <w:rsid w:val="26130081"/>
    <w:rsid w:val="26443D59"/>
    <w:rsid w:val="26827D47"/>
    <w:rsid w:val="26B600A6"/>
    <w:rsid w:val="27111F36"/>
    <w:rsid w:val="27ABAA53"/>
    <w:rsid w:val="27C2006D"/>
    <w:rsid w:val="27F956BC"/>
    <w:rsid w:val="282657B3"/>
    <w:rsid w:val="283FF904"/>
    <w:rsid w:val="28D053F7"/>
    <w:rsid w:val="29965193"/>
    <w:rsid w:val="29A21154"/>
    <w:rsid w:val="29CE0ABC"/>
    <w:rsid w:val="2A161FA5"/>
    <w:rsid w:val="2A5224BE"/>
    <w:rsid w:val="2ABF1892"/>
    <w:rsid w:val="2AEA6FA4"/>
    <w:rsid w:val="2B5525A5"/>
    <w:rsid w:val="2B68485A"/>
    <w:rsid w:val="2BFC76C3"/>
    <w:rsid w:val="2C167E24"/>
    <w:rsid w:val="2CB05936"/>
    <w:rsid w:val="2CC07BC8"/>
    <w:rsid w:val="2CF47F19"/>
    <w:rsid w:val="2D0F13B5"/>
    <w:rsid w:val="2D74D750"/>
    <w:rsid w:val="2E0767EC"/>
    <w:rsid w:val="2ECB78F4"/>
    <w:rsid w:val="2EFE9295"/>
    <w:rsid w:val="2EFF3006"/>
    <w:rsid w:val="2F0361F1"/>
    <w:rsid w:val="2F116994"/>
    <w:rsid w:val="2FAF1ED5"/>
    <w:rsid w:val="2FFED276"/>
    <w:rsid w:val="302375CA"/>
    <w:rsid w:val="303DFA7A"/>
    <w:rsid w:val="3043174B"/>
    <w:rsid w:val="307E518D"/>
    <w:rsid w:val="30C45E54"/>
    <w:rsid w:val="30CB35A4"/>
    <w:rsid w:val="313D699A"/>
    <w:rsid w:val="31B2490B"/>
    <w:rsid w:val="31B25CAD"/>
    <w:rsid w:val="329131C8"/>
    <w:rsid w:val="32EB3982"/>
    <w:rsid w:val="32FE5564"/>
    <w:rsid w:val="33BE6521"/>
    <w:rsid w:val="33CDE7AF"/>
    <w:rsid w:val="33F3BF6B"/>
    <w:rsid w:val="34014CC9"/>
    <w:rsid w:val="34756D29"/>
    <w:rsid w:val="348428C3"/>
    <w:rsid w:val="34F441B3"/>
    <w:rsid w:val="34FC84DE"/>
    <w:rsid w:val="35AD5BE5"/>
    <w:rsid w:val="35C14729"/>
    <w:rsid w:val="35D6301D"/>
    <w:rsid w:val="35FF947B"/>
    <w:rsid w:val="36465E0D"/>
    <w:rsid w:val="36513730"/>
    <w:rsid w:val="369342FF"/>
    <w:rsid w:val="369FC9A8"/>
    <w:rsid w:val="36EB38F9"/>
    <w:rsid w:val="36FA437E"/>
    <w:rsid w:val="377329D1"/>
    <w:rsid w:val="37C069A4"/>
    <w:rsid w:val="37DB285B"/>
    <w:rsid w:val="37F79061"/>
    <w:rsid w:val="37FF8BED"/>
    <w:rsid w:val="382A53FC"/>
    <w:rsid w:val="384773BD"/>
    <w:rsid w:val="384977AD"/>
    <w:rsid w:val="38A5396D"/>
    <w:rsid w:val="38E73C3E"/>
    <w:rsid w:val="397B9D5E"/>
    <w:rsid w:val="39AE72D1"/>
    <w:rsid w:val="39DA3D61"/>
    <w:rsid w:val="39F229AD"/>
    <w:rsid w:val="3AD6002B"/>
    <w:rsid w:val="3B044430"/>
    <w:rsid w:val="3B35CC57"/>
    <w:rsid w:val="3B36172D"/>
    <w:rsid w:val="3B3729EF"/>
    <w:rsid w:val="3B532B11"/>
    <w:rsid w:val="3B811C55"/>
    <w:rsid w:val="3BAFE9F1"/>
    <w:rsid w:val="3BCB0C1A"/>
    <w:rsid w:val="3BF2B046"/>
    <w:rsid w:val="3C5DCE07"/>
    <w:rsid w:val="3C8618CD"/>
    <w:rsid w:val="3CC51F31"/>
    <w:rsid w:val="3CC74F20"/>
    <w:rsid w:val="3CCFBB2D"/>
    <w:rsid w:val="3CEE2DC4"/>
    <w:rsid w:val="3D9A1DF3"/>
    <w:rsid w:val="3DB81D31"/>
    <w:rsid w:val="3DFF0CEB"/>
    <w:rsid w:val="3E0B50C2"/>
    <w:rsid w:val="3E7A5562"/>
    <w:rsid w:val="3EF7C58E"/>
    <w:rsid w:val="3F4F7231"/>
    <w:rsid w:val="3F9F31CE"/>
    <w:rsid w:val="3FBBDD65"/>
    <w:rsid w:val="3FCB022A"/>
    <w:rsid w:val="3FF7BD92"/>
    <w:rsid w:val="3FFB1700"/>
    <w:rsid w:val="3FFB97EA"/>
    <w:rsid w:val="3FFF428A"/>
    <w:rsid w:val="402E73F8"/>
    <w:rsid w:val="41832AFA"/>
    <w:rsid w:val="41D05678"/>
    <w:rsid w:val="424961B9"/>
    <w:rsid w:val="426042E3"/>
    <w:rsid w:val="42764FA0"/>
    <w:rsid w:val="42B002E3"/>
    <w:rsid w:val="42C21B02"/>
    <w:rsid w:val="431442BB"/>
    <w:rsid w:val="43C8184D"/>
    <w:rsid w:val="43E4263E"/>
    <w:rsid w:val="44213F36"/>
    <w:rsid w:val="446B0669"/>
    <w:rsid w:val="446C41B1"/>
    <w:rsid w:val="447A4D50"/>
    <w:rsid w:val="449E22DF"/>
    <w:rsid w:val="44F559B5"/>
    <w:rsid w:val="451A3E3D"/>
    <w:rsid w:val="458F0387"/>
    <w:rsid w:val="46123EF9"/>
    <w:rsid w:val="4643462A"/>
    <w:rsid w:val="466B59D6"/>
    <w:rsid w:val="46A52752"/>
    <w:rsid w:val="46D31CFE"/>
    <w:rsid w:val="47BBD490"/>
    <w:rsid w:val="47BFA823"/>
    <w:rsid w:val="48A03EE0"/>
    <w:rsid w:val="49402663"/>
    <w:rsid w:val="49C56A6D"/>
    <w:rsid w:val="4A512E0D"/>
    <w:rsid w:val="4AAB0E37"/>
    <w:rsid w:val="4B007A08"/>
    <w:rsid w:val="4B087C2A"/>
    <w:rsid w:val="4B0B4B1B"/>
    <w:rsid w:val="4B4A4298"/>
    <w:rsid w:val="4B6A0EF2"/>
    <w:rsid w:val="4B7B4476"/>
    <w:rsid w:val="4BA32DDE"/>
    <w:rsid w:val="4BBE7E3D"/>
    <w:rsid w:val="4BD076D3"/>
    <w:rsid w:val="4C8E78EA"/>
    <w:rsid w:val="4D3D2DBF"/>
    <w:rsid w:val="4DAA5016"/>
    <w:rsid w:val="4E157EE2"/>
    <w:rsid w:val="4E423A9C"/>
    <w:rsid w:val="4E492235"/>
    <w:rsid w:val="4E641BFE"/>
    <w:rsid w:val="4E7D6A11"/>
    <w:rsid w:val="4EA05ED9"/>
    <w:rsid w:val="4EBB3F9B"/>
    <w:rsid w:val="4F0847BA"/>
    <w:rsid w:val="4F35D6FC"/>
    <w:rsid w:val="4F3E359E"/>
    <w:rsid w:val="4F5DB4AD"/>
    <w:rsid w:val="4F81781B"/>
    <w:rsid w:val="4F8D1DDB"/>
    <w:rsid w:val="4F916990"/>
    <w:rsid w:val="4FE01E92"/>
    <w:rsid w:val="4FF94C70"/>
    <w:rsid w:val="4FFB629A"/>
    <w:rsid w:val="504C4BFD"/>
    <w:rsid w:val="50ED545A"/>
    <w:rsid w:val="51107F94"/>
    <w:rsid w:val="511C1A2E"/>
    <w:rsid w:val="51377A0E"/>
    <w:rsid w:val="51396758"/>
    <w:rsid w:val="51541E47"/>
    <w:rsid w:val="51685EEB"/>
    <w:rsid w:val="523F1B6D"/>
    <w:rsid w:val="52BB41FA"/>
    <w:rsid w:val="53914416"/>
    <w:rsid w:val="53DD34FD"/>
    <w:rsid w:val="53E023FB"/>
    <w:rsid w:val="53E45D42"/>
    <w:rsid w:val="53FE99D1"/>
    <w:rsid w:val="54104D89"/>
    <w:rsid w:val="547D1CF3"/>
    <w:rsid w:val="54867AE5"/>
    <w:rsid w:val="54C72918"/>
    <w:rsid w:val="54FC07F6"/>
    <w:rsid w:val="554176EF"/>
    <w:rsid w:val="554E5ED5"/>
    <w:rsid w:val="5550351F"/>
    <w:rsid w:val="55524F2D"/>
    <w:rsid w:val="55727C53"/>
    <w:rsid w:val="55841D62"/>
    <w:rsid w:val="55DFDAEF"/>
    <w:rsid w:val="55F275DA"/>
    <w:rsid w:val="5612303A"/>
    <w:rsid w:val="56BBB88C"/>
    <w:rsid w:val="5713699B"/>
    <w:rsid w:val="572A3E2E"/>
    <w:rsid w:val="572B7BB5"/>
    <w:rsid w:val="57B74929"/>
    <w:rsid w:val="57F168D5"/>
    <w:rsid w:val="57F388A7"/>
    <w:rsid w:val="57FBFD4E"/>
    <w:rsid w:val="580C4B5E"/>
    <w:rsid w:val="584B460C"/>
    <w:rsid w:val="58901341"/>
    <w:rsid w:val="58A20377"/>
    <w:rsid w:val="58B64E60"/>
    <w:rsid w:val="591E393D"/>
    <w:rsid w:val="599F3DF0"/>
    <w:rsid w:val="59B737D4"/>
    <w:rsid w:val="59DFB9E0"/>
    <w:rsid w:val="5A137381"/>
    <w:rsid w:val="5A2F3BFF"/>
    <w:rsid w:val="5A381221"/>
    <w:rsid w:val="5A816726"/>
    <w:rsid w:val="5AF72652"/>
    <w:rsid w:val="5B356A1A"/>
    <w:rsid w:val="5B4A7741"/>
    <w:rsid w:val="5B767BC7"/>
    <w:rsid w:val="5B767C3A"/>
    <w:rsid w:val="5BCFD5FD"/>
    <w:rsid w:val="5BEF10AF"/>
    <w:rsid w:val="5C10379E"/>
    <w:rsid w:val="5C41500B"/>
    <w:rsid w:val="5C6608E2"/>
    <w:rsid w:val="5C7119EA"/>
    <w:rsid w:val="5CFE5FDA"/>
    <w:rsid w:val="5D0D397A"/>
    <w:rsid w:val="5D6CDBAF"/>
    <w:rsid w:val="5D8A4E95"/>
    <w:rsid w:val="5DB66FE1"/>
    <w:rsid w:val="5DFF7A0A"/>
    <w:rsid w:val="5E5DD5FF"/>
    <w:rsid w:val="5E634BF8"/>
    <w:rsid w:val="5E8034F4"/>
    <w:rsid w:val="5EA3BB0E"/>
    <w:rsid w:val="5EBFB5EF"/>
    <w:rsid w:val="5EDD7CE9"/>
    <w:rsid w:val="5EE50BC0"/>
    <w:rsid w:val="5F0C3691"/>
    <w:rsid w:val="5F117E56"/>
    <w:rsid w:val="5F33B239"/>
    <w:rsid w:val="5F4B56B1"/>
    <w:rsid w:val="5F7F47E0"/>
    <w:rsid w:val="5F96578B"/>
    <w:rsid w:val="5FBF3C8C"/>
    <w:rsid w:val="5FCDDBCA"/>
    <w:rsid w:val="5FD54FBE"/>
    <w:rsid w:val="5FEB8488"/>
    <w:rsid w:val="5FEC204B"/>
    <w:rsid w:val="5FF73021"/>
    <w:rsid w:val="5FFA6887"/>
    <w:rsid w:val="5FFBCD07"/>
    <w:rsid w:val="5FFDFCE2"/>
    <w:rsid w:val="5FFFF49B"/>
    <w:rsid w:val="605A55BA"/>
    <w:rsid w:val="60841151"/>
    <w:rsid w:val="611D691C"/>
    <w:rsid w:val="612479FF"/>
    <w:rsid w:val="61453A27"/>
    <w:rsid w:val="61813DAD"/>
    <w:rsid w:val="61A45E36"/>
    <w:rsid w:val="61F78A00"/>
    <w:rsid w:val="623D70A2"/>
    <w:rsid w:val="628C10F6"/>
    <w:rsid w:val="630C5FE6"/>
    <w:rsid w:val="630F26B0"/>
    <w:rsid w:val="633609DD"/>
    <w:rsid w:val="63482950"/>
    <w:rsid w:val="634C4538"/>
    <w:rsid w:val="639715D5"/>
    <w:rsid w:val="63A773CA"/>
    <w:rsid w:val="63D522DF"/>
    <w:rsid w:val="64B04B1B"/>
    <w:rsid w:val="64B806BB"/>
    <w:rsid w:val="64DB414D"/>
    <w:rsid w:val="64DC3E47"/>
    <w:rsid w:val="65633128"/>
    <w:rsid w:val="659F0703"/>
    <w:rsid w:val="65B2B24F"/>
    <w:rsid w:val="665045B1"/>
    <w:rsid w:val="665E7663"/>
    <w:rsid w:val="66657B28"/>
    <w:rsid w:val="668D65D0"/>
    <w:rsid w:val="66B818E4"/>
    <w:rsid w:val="66C642AC"/>
    <w:rsid w:val="66CC58D1"/>
    <w:rsid w:val="671806DE"/>
    <w:rsid w:val="673CE84C"/>
    <w:rsid w:val="674918D5"/>
    <w:rsid w:val="67B93D33"/>
    <w:rsid w:val="67BF400C"/>
    <w:rsid w:val="67D041C8"/>
    <w:rsid w:val="67F52994"/>
    <w:rsid w:val="67F5C118"/>
    <w:rsid w:val="67FD6369"/>
    <w:rsid w:val="686C496E"/>
    <w:rsid w:val="68A065D6"/>
    <w:rsid w:val="68B50900"/>
    <w:rsid w:val="68D78DD8"/>
    <w:rsid w:val="6931083A"/>
    <w:rsid w:val="69405A1D"/>
    <w:rsid w:val="69553CD0"/>
    <w:rsid w:val="697843B8"/>
    <w:rsid w:val="69C0793B"/>
    <w:rsid w:val="69D93542"/>
    <w:rsid w:val="69FB34FE"/>
    <w:rsid w:val="69FEBD86"/>
    <w:rsid w:val="6A023738"/>
    <w:rsid w:val="6A3A6264"/>
    <w:rsid w:val="6AED570D"/>
    <w:rsid w:val="6AEE7149"/>
    <w:rsid w:val="6B986475"/>
    <w:rsid w:val="6BA8544F"/>
    <w:rsid w:val="6BD8555A"/>
    <w:rsid w:val="6BE0AA22"/>
    <w:rsid w:val="6BE9575E"/>
    <w:rsid w:val="6C15526D"/>
    <w:rsid w:val="6C2F70E4"/>
    <w:rsid w:val="6CE9B861"/>
    <w:rsid w:val="6CF391DF"/>
    <w:rsid w:val="6CF7C907"/>
    <w:rsid w:val="6D16636B"/>
    <w:rsid w:val="6D723FE2"/>
    <w:rsid w:val="6D7F6692"/>
    <w:rsid w:val="6DAB7FF2"/>
    <w:rsid w:val="6DBBCFA1"/>
    <w:rsid w:val="6DD95C8D"/>
    <w:rsid w:val="6DE62427"/>
    <w:rsid w:val="6DEF8750"/>
    <w:rsid w:val="6DF91DF0"/>
    <w:rsid w:val="6E3B360C"/>
    <w:rsid w:val="6E57727A"/>
    <w:rsid w:val="6E6C6C08"/>
    <w:rsid w:val="6E6E3F67"/>
    <w:rsid w:val="6EA445F4"/>
    <w:rsid w:val="6EA7F3A3"/>
    <w:rsid w:val="6EDF6147"/>
    <w:rsid w:val="6EE65519"/>
    <w:rsid w:val="6EF30C19"/>
    <w:rsid w:val="6EF9E9F9"/>
    <w:rsid w:val="6F0F3985"/>
    <w:rsid w:val="6F4BB749"/>
    <w:rsid w:val="6F7BE47D"/>
    <w:rsid w:val="6F8F40B0"/>
    <w:rsid w:val="6F9D176F"/>
    <w:rsid w:val="6FAA50F5"/>
    <w:rsid w:val="6FAE1B15"/>
    <w:rsid w:val="6FB90CAE"/>
    <w:rsid w:val="6FBD8D9C"/>
    <w:rsid w:val="6FBFAD23"/>
    <w:rsid w:val="6FCFAE04"/>
    <w:rsid w:val="6FD40F09"/>
    <w:rsid w:val="6FD4D777"/>
    <w:rsid w:val="6FFE5758"/>
    <w:rsid w:val="6FFF0A12"/>
    <w:rsid w:val="7008163A"/>
    <w:rsid w:val="70613A0D"/>
    <w:rsid w:val="70642BB0"/>
    <w:rsid w:val="706A08B6"/>
    <w:rsid w:val="70E64A50"/>
    <w:rsid w:val="70FB549B"/>
    <w:rsid w:val="71431EA2"/>
    <w:rsid w:val="715B4E6C"/>
    <w:rsid w:val="71D12ED3"/>
    <w:rsid w:val="71D64AC4"/>
    <w:rsid w:val="71E50CDE"/>
    <w:rsid w:val="71F736F4"/>
    <w:rsid w:val="721E1AC8"/>
    <w:rsid w:val="722A671B"/>
    <w:rsid w:val="722D51E7"/>
    <w:rsid w:val="724D2119"/>
    <w:rsid w:val="72674C90"/>
    <w:rsid w:val="726C64B6"/>
    <w:rsid w:val="7293139C"/>
    <w:rsid w:val="72F81925"/>
    <w:rsid w:val="730E7C57"/>
    <w:rsid w:val="73130B1A"/>
    <w:rsid w:val="7337BA08"/>
    <w:rsid w:val="73706767"/>
    <w:rsid w:val="73C821D7"/>
    <w:rsid w:val="73CB0159"/>
    <w:rsid w:val="73CD9D40"/>
    <w:rsid w:val="73D859F6"/>
    <w:rsid w:val="73EFEDD2"/>
    <w:rsid w:val="73F3D26F"/>
    <w:rsid w:val="7441134A"/>
    <w:rsid w:val="756CE37D"/>
    <w:rsid w:val="758F7BB5"/>
    <w:rsid w:val="759359C9"/>
    <w:rsid w:val="75942529"/>
    <w:rsid w:val="75DBDCA5"/>
    <w:rsid w:val="75FE210E"/>
    <w:rsid w:val="766C6C8B"/>
    <w:rsid w:val="7694F00D"/>
    <w:rsid w:val="769B2BE1"/>
    <w:rsid w:val="76B71433"/>
    <w:rsid w:val="76C319D0"/>
    <w:rsid w:val="76C78576"/>
    <w:rsid w:val="76C934CD"/>
    <w:rsid w:val="77475161"/>
    <w:rsid w:val="776F4B82"/>
    <w:rsid w:val="77A718A7"/>
    <w:rsid w:val="77A762C6"/>
    <w:rsid w:val="77B7F2F1"/>
    <w:rsid w:val="77BF9CC5"/>
    <w:rsid w:val="77CEFA47"/>
    <w:rsid w:val="77D3C4E9"/>
    <w:rsid w:val="78DB3C81"/>
    <w:rsid w:val="78E47591"/>
    <w:rsid w:val="78F46879"/>
    <w:rsid w:val="792731D4"/>
    <w:rsid w:val="795814B0"/>
    <w:rsid w:val="79EE833C"/>
    <w:rsid w:val="79F326DD"/>
    <w:rsid w:val="79F62191"/>
    <w:rsid w:val="7A300853"/>
    <w:rsid w:val="7A3B479F"/>
    <w:rsid w:val="7A57076C"/>
    <w:rsid w:val="7A636AC4"/>
    <w:rsid w:val="7AE80510"/>
    <w:rsid w:val="7AEF368D"/>
    <w:rsid w:val="7AEF4C6D"/>
    <w:rsid w:val="7B498DCB"/>
    <w:rsid w:val="7BA8FAAF"/>
    <w:rsid w:val="7BB37C24"/>
    <w:rsid w:val="7BBDE254"/>
    <w:rsid w:val="7BD64C19"/>
    <w:rsid w:val="7BD85DA2"/>
    <w:rsid w:val="7BDD0D7A"/>
    <w:rsid w:val="7BEC4FE4"/>
    <w:rsid w:val="7BFDBFBB"/>
    <w:rsid w:val="7BFF2CD2"/>
    <w:rsid w:val="7C433C87"/>
    <w:rsid w:val="7C7FBA45"/>
    <w:rsid w:val="7C913365"/>
    <w:rsid w:val="7CD58CAE"/>
    <w:rsid w:val="7CF76244"/>
    <w:rsid w:val="7CF7DE40"/>
    <w:rsid w:val="7CF9A26D"/>
    <w:rsid w:val="7D1F024C"/>
    <w:rsid w:val="7D37B751"/>
    <w:rsid w:val="7D79ADD8"/>
    <w:rsid w:val="7D98342E"/>
    <w:rsid w:val="7D9C439D"/>
    <w:rsid w:val="7DAA597A"/>
    <w:rsid w:val="7DC7230F"/>
    <w:rsid w:val="7DE3D04B"/>
    <w:rsid w:val="7DEE13E8"/>
    <w:rsid w:val="7DF1495C"/>
    <w:rsid w:val="7DF22172"/>
    <w:rsid w:val="7DF7FFE9"/>
    <w:rsid w:val="7E1E7DBA"/>
    <w:rsid w:val="7E27C139"/>
    <w:rsid w:val="7E525EAD"/>
    <w:rsid w:val="7E6A44CE"/>
    <w:rsid w:val="7E6F5976"/>
    <w:rsid w:val="7E7E1334"/>
    <w:rsid w:val="7E7F64E4"/>
    <w:rsid w:val="7EAD41D8"/>
    <w:rsid w:val="7EBF684F"/>
    <w:rsid w:val="7EBFCB9E"/>
    <w:rsid w:val="7EDBD51A"/>
    <w:rsid w:val="7EE71710"/>
    <w:rsid w:val="7EEA813D"/>
    <w:rsid w:val="7EEE6366"/>
    <w:rsid w:val="7EEEB4EC"/>
    <w:rsid w:val="7EEF9499"/>
    <w:rsid w:val="7EF7820C"/>
    <w:rsid w:val="7EFF5479"/>
    <w:rsid w:val="7EFF9D61"/>
    <w:rsid w:val="7F0A04A3"/>
    <w:rsid w:val="7F0A4CF1"/>
    <w:rsid w:val="7F2FEF0D"/>
    <w:rsid w:val="7F378F6F"/>
    <w:rsid w:val="7F4528FB"/>
    <w:rsid w:val="7F57AB67"/>
    <w:rsid w:val="7F643302"/>
    <w:rsid w:val="7F6F8FF5"/>
    <w:rsid w:val="7F7E3D84"/>
    <w:rsid w:val="7F9058F6"/>
    <w:rsid w:val="7F999B66"/>
    <w:rsid w:val="7FAF89EE"/>
    <w:rsid w:val="7FB90574"/>
    <w:rsid w:val="7FBA908B"/>
    <w:rsid w:val="7FBED0E4"/>
    <w:rsid w:val="7FBF8B8E"/>
    <w:rsid w:val="7FD93446"/>
    <w:rsid w:val="7FDBB8C0"/>
    <w:rsid w:val="7FDDE032"/>
    <w:rsid w:val="7FDE6FD5"/>
    <w:rsid w:val="7FE6285F"/>
    <w:rsid w:val="7FEB5CD2"/>
    <w:rsid w:val="7FEF4F68"/>
    <w:rsid w:val="7FEFCB6A"/>
    <w:rsid w:val="7FF67358"/>
    <w:rsid w:val="7FFB0D41"/>
    <w:rsid w:val="7FFD13B0"/>
    <w:rsid w:val="7FFE1F7F"/>
    <w:rsid w:val="7FFE2123"/>
    <w:rsid w:val="7FFE3F4E"/>
    <w:rsid w:val="7FFE7505"/>
    <w:rsid w:val="7FFF30EB"/>
    <w:rsid w:val="7FFFDA5A"/>
    <w:rsid w:val="7FFFFD1C"/>
    <w:rsid w:val="89FFBBEF"/>
    <w:rsid w:val="93FD313E"/>
    <w:rsid w:val="9A8F11E5"/>
    <w:rsid w:val="9EDCB2F2"/>
    <w:rsid w:val="9F9EE310"/>
    <w:rsid w:val="9FDEC72B"/>
    <w:rsid w:val="9FEF69E7"/>
    <w:rsid w:val="9FFB76D4"/>
    <w:rsid w:val="9FFFBFFD"/>
    <w:rsid w:val="9FFFC9A6"/>
    <w:rsid w:val="9FFFE0C3"/>
    <w:rsid w:val="9FFFEEEB"/>
    <w:rsid w:val="A8EDF9E8"/>
    <w:rsid w:val="A9127A3B"/>
    <w:rsid w:val="ADEF748F"/>
    <w:rsid w:val="AFDBB282"/>
    <w:rsid w:val="AFF22E06"/>
    <w:rsid w:val="B4EE05F2"/>
    <w:rsid w:val="B57585A9"/>
    <w:rsid w:val="B6DE1A7F"/>
    <w:rsid w:val="B7746CEB"/>
    <w:rsid w:val="B7BAFDF4"/>
    <w:rsid w:val="B7FBBDB7"/>
    <w:rsid w:val="B7FF91E7"/>
    <w:rsid w:val="BA7F0789"/>
    <w:rsid w:val="BAEB724C"/>
    <w:rsid w:val="BAEE69BB"/>
    <w:rsid w:val="BAFBD1EA"/>
    <w:rsid w:val="BBBD9128"/>
    <w:rsid w:val="BBF759C1"/>
    <w:rsid w:val="BC5FB2E2"/>
    <w:rsid w:val="BD1E9208"/>
    <w:rsid w:val="BD5B01BA"/>
    <w:rsid w:val="BDD3030E"/>
    <w:rsid w:val="BDFFC0A2"/>
    <w:rsid w:val="BE735C70"/>
    <w:rsid w:val="BE7B1464"/>
    <w:rsid w:val="BE7B6C53"/>
    <w:rsid w:val="BE7F22F1"/>
    <w:rsid w:val="BECD9576"/>
    <w:rsid w:val="BECF3902"/>
    <w:rsid w:val="BF534A1F"/>
    <w:rsid w:val="BF5D7EFB"/>
    <w:rsid w:val="BF771FBB"/>
    <w:rsid w:val="BF9CDB99"/>
    <w:rsid w:val="BF9FBCE8"/>
    <w:rsid w:val="BFBBBC7E"/>
    <w:rsid w:val="BFC652F2"/>
    <w:rsid w:val="BFCD3ED8"/>
    <w:rsid w:val="BFD7CD4C"/>
    <w:rsid w:val="BFD7CEE2"/>
    <w:rsid w:val="BFDF8867"/>
    <w:rsid w:val="BFFD4AC0"/>
    <w:rsid w:val="BFFFC3E8"/>
    <w:rsid w:val="BFFFEBC3"/>
    <w:rsid w:val="C2FFE07E"/>
    <w:rsid w:val="CB9FA3E7"/>
    <w:rsid w:val="CBEF2181"/>
    <w:rsid w:val="CCFF1A53"/>
    <w:rsid w:val="CDDB9A17"/>
    <w:rsid w:val="CDFA57C5"/>
    <w:rsid w:val="CEFD0F23"/>
    <w:rsid w:val="CF4DF17F"/>
    <w:rsid w:val="CF96B274"/>
    <w:rsid w:val="D1BF1752"/>
    <w:rsid w:val="D6F5A450"/>
    <w:rsid w:val="D6F7F707"/>
    <w:rsid w:val="D7AF813E"/>
    <w:rsid w:val="D9FBD1AB"/>
    <w:rsid w:val="DB3F9640"/>
    <w:rsid w:val="DBBF6DF7"/>
    <w:rsid w:val="DCFCBFC7"/>
    <w:rsid w:val="DDBD573A"/>
    <w:rsid w:val="DDFED7BF"/>
    <w:rsid w:val="DE5EFFBD"/>
    <w:rsid w:val="DE7F0677"/>
    <w:rsid w:val="DEBED06D"/>
    <w:rsid w:val="DED26900"/>
    <w:rsid w:val="DEF7E011"/>
    <w:rsid w:val="DF31F025"/>
    <w:rsid w:val="DF598D7E"/>
    <w:rsid w:val="DF624981"/>
    <w:rsid w:val="DF787CD9"/>
    <w:rsid w:val="DFDAE08A"/>
    <w:rsid w:val="DFF60346"/>
    <w:rsid w:val="DFFB2EE2"/>
    <w:rsid w:val="DFFB48A8"/>
    <w:rsid w:val="DFFC213B"/>
    <w:rsid w:val="E0EE2B26"/>
    <w:rsid w:val="E0F34716"/>
    <w:rsid w:val="E2BF47F7"/>
    <w:rsid w:val="E35B42C9"/>
    <w:rsid w:val="E5FEBB27"/>
    <w:rsid w:val="E5FF3763"/>
    <w:rsid w:val="E69F7761"/>
    <w:rsid w:val="E6EFB0DA"/>
    <w:rsid w:val="E78B8A4F"/>
    <w:rsid w:val="E7EDDEED"/>
    <w:rsid w:val="E7FEE2C1"/>
    <w:rsid w:val="E7FF03C9"/>
    <w:rsid w:val="E8FF1794"/>
    <w:rsid w:val="E9A69D6C"/>
    <w:rsid w:val="EAF725F3"/>
    <w:rsid w:val="EBAF0236"/>
    <w:rsid w:val="EBBEA593"/>
    <w:rsid w:val="EBBF415C"/>
    <w:rsid w:val="EBD381CE"/>
    <w:rsid w:val="EBDDD4DD"/>
    <w:rsid w:val="EC7DAA3A"/>
    <w:rsid w:val="ECEF8A06"/>
    <w:rsid w:val="EE5D310F"/>
    <w:rsid w:val="EE7F9324"/>
    <w:rsid w:val="EFBE9762"/>
    <w:rsid w:val="EFBF406C"/>
    <w:rsid w:val="EFCF811D"/>
    <w:rsid w:val="EFE66AF1"/>
    <w:rsid w:val="EFEA4C91"/>
    <w:rsid w:val="EFF7D728"/>
    <w:rsid w:val="EFF7F524"/>
    <w:rsid w:val="EFFD5B60"/>
    <w:rsid w:val="EFFF01AD"/>
    <w:rsid w:val="F0BE44B5"/>
    <w:rsid w:val="F0EF2136"/>
    <w:rsid w:val="F2EF36EE"/>
    <w:rsid w:val="F33AA929"/>
    <w:rsid w:val="F3F70B38"/>
    <w:rsid w:val="F3FDA713"/>
    <w:rsid w:val="F57A250F"/>
    <w:rsid w:val="F57F6D2B"/>
    <w:rsid w:val="F5B77DD2"/>
    <w:rsid w:val="F5BDEFAE"/>
    <w:rsid w:val="F5D77EB2"/>
    <w:rsid w:val="F5D9786D"/>
    <w:rsid w:val="F5FFB0DB"/>
    <w:rsid w:val="F63C089F"/>
    <w:rsid w:val="F6FF8CC7"/>
    <w:rsid w:val="F73F21C5"/>
    <w:rsid w:val="F73F42DF"/>
    <w:rsid w:val="F75F6547"/>
    <w:rsid w:val="F7721F58"/>
    <w:rsid w:val="F77BD427"/>
    <w:rsid w:val="F7AF4B28"/>
    <w:rsid w:val="F7B3A3FE"/>
    <w:rsid w:val="F7B719DC"/>
    <w:rsid w:val="F7BB8E9E"/>
    <w:rsid w:val="F7BE4B05"/>
    <w:rsid w:val="F7BF9645"/>
    <w:rsid w:val="F7ED9992"/>
    <w:rsid w:val="F7FC5096"/>
    <w:rsid w:val="F95D6B99"/>
    <w:rsid w:val="F97B491C"/>
    <w:rsid w:val="F97C9BDD"/>
    <w:rsid w:val="F97EEC7B"/>
    <w:rsid w:val="F9BFE29D"/>
    <w:rsid w:val="F9E3D759"/>
    <w:rsid w:val="F9F8EF40"/>
    <w:rsid w:val="FA5F2077"/>
    <w:rsid w:val="FA6B1230"/>
    <w:rsid w:val="FABD5388"/>
    <w:rsid w:val="FAFE4DC0"/>
    <w:rsid w:val="FAFF7CA2"/>
    <w:rsid w:val="FB2F4941"/>
    <w:rsid w:val="FB7B59FA"/>
    <w:rsid w:val="FB7D72F2"/>
    <w:rsid w:val="FB859DA8"/>
    <w:rsid w:val="FBB72C6B"/>
    <w:rsid w:val="FBBB8907"/>
    <w:rsid w:val="FBBE73DE"/>
    <w:rsid w:val="FBBF5F00"/>
    <w:rsid w:val="FBC98D3A"/>
    <w:rsid w:val="FBFB395A"/>
    <w:rsid w:val="FBFDBB09"/>
    <w:rsid w:val="FBFF0E46"/>
    <w:rsid w:val="FBFF7E20"/>
    <w:rsid w:val="FBFF9904"/>
    <w:rsid w:val="FCFF9AB1"/>
    <w:rsid w:val="FCFFBC92"/>
    <w:rsid w:val="FD3E3F8D"/>
    <w:rsid w:val="FD7D6777"/>
    <w:rsid w:val="FDBB2B9D"/>
    <w:rsid w:val="FDDF4892"/>
    <w:rsid w:val="FDFCC479"/>
    <w:rsid w:val="FDFE19B8"/>
    <w:rsid w:val="FE6FE4BC"/>
    <w:rsid w:val="FE7C2FAD"/>
    <w:rsid w:val="FE7E8776"/>
    <w:rsid w:val="FEDE70F6"/>
    <w:rsid w:val="FEDF41B9"/>
    <w:rsid w:val="FEF359BA"/>
    <w:rsid w:val="FEF73842"/>
    <w:rsid w:val="FEF9F68D"/>
    <w:rsid w:val="FEFD45FF"/>
    <w:rsid w:val="FEFF357B"/>
    <w:rsid w:val="FEFF6547"/>
    <w:rsid w:val="FF5D52CD"/>
    <w:rsid w:val="FF6350FD"/>
    <w:rsid w:val="FF6FEFB2"/>
    <w:rsid w:val="FF7D3A98"/>
    <w:rsid w:val="FF7DC168"/>
    <w:rsid w:val="FF7E525A"/>
    <w:rsid w:val="FF7E909B"/>
    <w:rsid w:val="FF7F8CF6"/>
    <w:rsid w:val="FF997935"/>
    <w:rsid w:val="FFA63DDF"/>
    <w:rsid w:val="FFB7E169"/>
    <w:rsid w:val="FFBD43EE"/>
    <w:rsid w:val="FFBDE3D4"/>
    <w:rsid w:val="FFBF57EE"/>
    <w:rsid w:val="FFBF8730"/>
    <w:rsid w:val="FFCE65E2"/>
    <w:rsid w:val="FFDECDFC"/>
    <w:rsid w:val="FFE37440"/>
    <w:rsid w:val="FFEFFA3E"/>
    <w:rsid w:val="FFF10A9F"/>
    <w:rsid w:val="FFF3E6A4"/>
    <w:rsid w:val="FFF5DB57"/>
    <w:rsid w:val="FFF7A446"/>
    <w:rsid w:val="FFFB7CCD"/>
    <w:rsid w:val="FFFC216F"/>
    <w:rsid w:val="FFFC8512"/>
    <w:rsid w:val="FFFD1B81"/>
    <w:rsid w:val="FFFF52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1">
    <w:name w:val="Default Paragraph Font"/>
    <w:link w:val="22"/>
    <w:semiHidden/>
    <w:qFormat/>
    <w:uiPriority w:val="0"/>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line="500" w:lineRule="exact"/>
      <w:ind w:firstLine="630"/>
    </w:pPr>
    <w:rPr>
      <w:rFonts w:eastAsia="仿宋_GB2312"/>
      <w:sz w:val="32"/>
      <w:szCs w:val="20"/>
    </w:rPr>
  </w:style>
  <w:style w:type="paragraph" w:styleId="4">
    <w:name w:val="Normal Indent"/>
    <w:basedOn w:val="1"/>
    <w:next w:val="1"/>
    <w:qFormat/>
    <w:uiPriority w:val="0"/>
    <w:pPr>
      <w:ind w:firstLine="200" w:firstLineChars="200"/>
    </w:pPr>
    <w:rPr>
      <w:rFonts w:eastAsia="仿宋"/>
      <w:sz w:val="32"/>
    </w:r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afterAutospacing="0"/>
    </w:pPr>
  </w:style>
  <w:style w:type="paragraph" w:styleId="8">
    <w:name w:val="Body Text 2"/>
    <w:basedOn w:val="1"/>
    <w:unhideWhenUsed/>
    <w:qFormat/>
    <w:uiPriority w:val="99"/>
    <w:pPr>
      <w:spacing w:after="120" w:line="480" w:lineRule="auto"/>
    </w:pPr>
  </w:style>
  <w:style w:type="paragraph" w:styleId="9">
    <w:name w:val="toc 3"/>
    <w:basedOn w:val="1"/>
    <w:next w:val="1"/>
    <w:qFormat/>
    <w:uiPriority w:val="0"/>
    <w:pPr>
      <w:ind w:left="420"/>
    </w:pPr>
    <w:rPr>
      <w:rFonts w:ascii="等线" w:hAnsi="等线" w:eastAsia="等线"/>
      <w:b/>
      <w:sz w:val="30"/>
      <w:szCs w:val="30"/>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line="600" w:lineRule="exact"/>
      <w:ind w:firstLine="640" w:firstLineChars="200"/>
    </w:pPr>
    <w:rPr>
      <w:rFonts w:eastAsia="仿宋_GB2312"/>
      <w:sz w:val="32"/>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afterLines="0"/>
      <w:ind w:left="420" w:leftChars="200"/>
    </w:pPr>
    <w:rPr>
      <w:sz w:val="16"/>
      <w:szCs w:val="16"/>
    </w:r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8">
    <w:name w:val="Body Text First Indent"/>
    <w:basedOn w:val="7"/>
    <w:qFormat/>
    <w:uiPriority w:val="99"/>
    <w:pPr>
      <w:ind w:firstLine="420" w:firstLineChars="100"/>
    </w:pPr>
  </w:style>
  <w:style w:type="table" w:styleId="20">
    <w:name w:val="Table Grid"/>
    <w:basedOn w:val="1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Char Char Char Char Char Char Char Char Char Char Char Char Char Char Char Char Char Char Char Char Char Char Char Char Char Char Char Char Char"/>
    <w:basedOn w:val="1"/>
    <w:link w:val="21"/>
    <w:qFormat/>
    <w:uiPriority w:val="0"/>
    <w:pPr>
      <w:widowControl/>
      <w:spacing w:after="160" w:afterLines="0" w:line="240" w:lineRule="exact"/>
      <w:jc w:val="left"/>
    </w:pPr>
  </w:style>
  <w:style w:type="character" w:styleId="23">
    <w:name w:val="Strong"/>
    <w:basedOn w:val="21"/>
    <w:qFormat/>
    <w:uiPriority w:val="0"/>
    <w:rPr>
      <w:b/>
      <w:bCs/>
    </w:rPr>
  </w:style>
  <w:style w:type="character" w:styleId="24">
    <w:name w:val="page number"/>
    <w:basedOn w:val="21"/>
    <w:qFormat/>
    <w:uiPriority w:val="0"/>
  </w:style>
  <w:style w:type="character" w:styleId="25">
    <w:name w:val="Hyperlink"/>
    <w:basedOn w:val="21"/>
    <w:qFormat/>
    <w:uiPriority w:val="0"/>
    <w:rPr>
      <w:color w:val="0000FF"/>
      <w:u w:val="single"/>
    </w:rPr>
  </w:style>
  <w:style w:type="paragraph" w:customStyle="1" w:styleId="26">
    <w:name w:val="样式1"/>
    <w:basedOn w:val="1"/>
    <w:qFormat/>
    <w:uiPriority w:val="0"/>
    <w:pPr>
      <w:spacing w:line="280" w:lineRule="exact"/>
    </w:pPr>
    <w:rPr>
      <w:rFonts w:ascii="Calibri" w:hAnsi="Calibri" w:eastAsia="方正仿宋_GBK" w:cs="Times New Roman"/>
      <w:color w:val="auto"/>
      <w:sz w:val="22"/>
    </w:rPr>
  </w:style>
  <w:style w:type="paragraph" w:customStyle="1" w:styleId="27">
    <w:name w:val=" Char Char Char Char"/>
    <w:basedOn w:val="1"/>
    <w:qFormat/>
    <w:uiPriority w:val="0"/>
    <w:pPr>
      <w:widowControl/>
      <w:spacing w:after="160" w:afterLines="0" w:line="240" w:lineRule="exact"/>
      <w:jc w:val="left"/>
    </w:pPr>
    <w:rPr>
      <w:rFonts w:ascii="Verdana" w:hAnsi="Verdana" w:cs="Verdana"/>
      <w:color w:val="000000"/>
      <w:kern w:val="0"/>
      <w:sz w:val="20"/>
      <w:szCs w:val="20"/>
      <w:lang w:eastAsia="en-US"/>
    </w:rPr>
  </w:style>
  <w:style w:type="character" w:customStyle="1" w:styleId="28">
    <w:name w:val="NormalCharacter"/>
    <w:semiHidden/>
    <w:qFormat/>
    <w:uiPriority w:val="0"/>
  </w:style>
  <w:style w:type="character" w:customStyle="1" w:styleId="29">
    <w:name w:val="font61"/>
    <w:basedOn w:val="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home\user\C:\Users\fzbyqj\AppData\Roaming\kingsoft\office6\templates\wps\zh_CN\&#24120;&#29992;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常用1.wpt</Template>
  <Pages>14</Pages>
  <Words>7585</Words>
  <Characters>7666</Characters>
  <Lines>19</Lines>
  <Paragraphs>5</Paragraphs>
  <TotalTime>58</TotalTime>
  <ScaleCrop>false</ScaleCrop>
  <LinksUpToDate>false</LinksUpToDate>
  <CharactersWithSpaces>7680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2021-11-04T01:43:00Z</dcterms:created>
  <dc:creator>fzbyqj</dc:creator>
  <cp:lastModifiedBy>LLB</cp:lastModifiedBy>
  <cp:lastPrinted>2023-02-16T01:34:00Z</cp:lastPrinted>
  <dcterms:modified xsi:type="dcterms:W3CDTF">2023-02-16T07:30:41Z</dcterms:modified>
  <dc:title>市直部门（单位）领导班子及领导干部年度考核工    作   方   案</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DC73C6E6E92E4C778E49F54520AA2F1D</vt:lpwstr>
  </property>
</Properties>
</file>