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snapToGrid w:val="0"/>
        <w:spacing w:line="240" w:lineRule="auto"/>
        <w:jc w:val="center"/>
        <w:rPr>
          <w:rFonts w:hint="eastAsia" w:ascii="方正小标宋简体" w:eastAsia="方正小标宋简体"/>
          <w:sz w:val="44"/>
          <w:szCs w:val="44"/>
          <w:highlight w:val="none"/>
        </w:rPr>
      </w:pPr>
      <w:bookmarkStart w:id="0" w:name="_GoBack"/>
      <w:bookmarkEnd w:id="0"/>
      <w:r>
        <w:rPr>
          <w:rFonts w:hint="eastAsia" w:ascii="方正小标宋简体" w:hAnsi="方正小标宋简体" w:eastAsia="方正小标宋简体" w:cs="方正小标宋简体"/>
          <w:color w:val="000000"/>
          <w:kern w:val="0"/>
          <w:sz w:val="43"/>
          <w:szCs w:val="43"/>
          <w:lang w:val="en-US" w:eastAsia="zh-CN"/>
        </w:rPr>
        <w:t>铁西区</w:t>
      </w:r>
      <w:r>
        <w:rPr>
          <w:rFonts w:ascii="方正小标宋简体" w:hAnsi="方正小标宋简体" w:eastAsia="方正小标宋简体" w:cs="方正小标宋简体"/>
          <w:color w:val="000000"/>
          <w:kern w:val="0"/>
          <w:sz w:val="43"/>
          <w:szCs w:val="43"/>
          <w:lang w:val="en-US" w:eastAsia="zh-CN"/>
        </w:rPr>
        <w:t>贯彻落实第二轮中央生态环境</w:t>
      </w:r>
      <w:r>
        <w:rPr>
          <w:rFonts w:hint="eastAsia" w:ascii="方正小标宋简体" w:hAnsi="方正小标宋简体" w:eastAsia="方正小标宋简体" w:cs="方正小标宋简体"/>
          <w:color w:val="000000"/>
          <w:kern w:val="0"/>
          <w:sz w:val="43"/>
          <w:szCs w:val="43"/>
          <w:lang w:val="en-US" w:eastAsia="zh-CN"/>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二十二</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rPr>
          <w:trHeight w:val="68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jc w:val="both"/>
              <w:rPr>
                <w:rFonts w:hint="eastAsia" w:ascii="方正小标宋_GBK" w:hAnsi="方正小标宋_GBK" w:eastAsia="方正小标宋_GBK" w:cs="方正小标宋_GBK"/>
                <w:sz w:val="24"/>
                <w:lang w:eastAsia="zh-CN"/>
              </w:rPr>
            </w:pPr>
            <w:r>
              <w:rPr>
                <w:rFonts w:hint="eastAsia" w:ascii="仿宋" w:hAnsi="仿宋" w:eastAsia="仿宋" w:cs="仿宋"/>
                <w:sz w:val="24"/>
                <w:lang w:val="en-US" w:eastAsia="zh-CN"/>
              </w:rPr>
              <w:t xml:space="preserve">  </w:t>
            </w:r>
            <w:r>
              <w:rPr>
                <w:rFonts w:hint="eastAsia" w:ascii="方正小标宋_GBK" w:hAnsi="方正小标宋_GBK" w:eastAsia="方正小标宋_GBK" w:cs="方正小标宋_GBK"/>
                <w:sz w:val="24"/>
                <w:lang w:eastAsia="zh-CN"/>
              </w:rPr>
              <w:t>二</w:t>
            </w:r>
          </w:p>
          <w:p>
            <w:pPr>
              <w:jc w:val="both"/>
              <w:rPr>
                <w:rFonts w:hint="eastAsia" w:ascii="方正小标宋_GBK" w:hAnsi="方正小标宋_GBK" w:eastAsia="方正小标宋_GBK" w:cs="方正小标宋_GBK"/>
                <w:sz w:val="24"/>
                <w:lang w:eastAsia="zh-CN"/>
              </w:rPr>
            </w:pPr>
            <w:r>
              <w:rPr>
                <w:rFonts w:hint="eastAsia" w:ascii="方正小标宋_GBK" w:hAnsi="方正小标宋_GBK" w:eastAsia="方正小标宋_GBK" w:cs="方正小标宋_GBK"/>
                <w:sz w:val="24"/>
                <w:lang w:val="en-US" w:eastAsia="zh-CN"/>
              </w:rPr>
              <w:t xml:space="preserve">  </w:t>
            </w:r>
            <w:r>
              <w:rPr>
                <w:rFonts w:hint="eastAsia" w:ascii="方正小标宋_GBK" w:hAnsi="方正小标宋_GBK" w:eastAsia="方正小标宋_GBK" w:cs="方正小标宋_GBK"/>
                <w:sz w:val="24"/>
                <w:lang w:eastAsia="zh-CN"/>
              </w:rPr>
              <w:t>十</w:t>
            </w:r>
          </w:p>
          <w:p>
            <w:pPr>
              <w:jc w:val="both"/>
              <w:rPr>
                <w:rFonts w:hint="eastAsia" w:ascii="仿宋" w:hAnsi="仿宋" w:eastAsia="仿宋" w:cs="仿宋"/>
                <w:sz w:val="24"/>
                <w:lang w:eastAsia="zh-CN"/>
              </w:rPr>
            </w:pPr>
            <w:r>
              <w:rPr>
                <w:rFonts w:hint="eastAsia" w:ascii="方正小标宋_GBK" w:hAnsi="方正小标宋_GBK" w:eastAsia="方正小标宋_GBK" w:cs="方正小标宋_GBK"/>
                <w:sz w:val="24"/>
                <w:lang w:val="en-US" w:eastAsia="zh-CN"/>
              </w:rPr>
              <w:t xml:space="preserve">  </w:t>
            </w:r>
            <w:r>
              <w:rPr>
                <w:rFonts w:hint="eastAsia" w:ascii="方正小标宋_GBK" w:hAnsi="方正小标宋_GBK" w:eastAsia="方正小标宋_GBK" w:cs="方正小标宋_GBK"/>
                <w:sz w:val="24"/>
                <w:lang w:eastAsia="zh-CN"/>
              </w:rPr>
              <w:t>二</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r>
              <w:rPr>
                <w:rFonts w:hint="eastAsia" w:ascii="仿宋_GB2312" w:hAnsi="仿宋_GB2312" w:eastAsia="仿宋_GB2312" w:cs="仿宋_GB2312"/>
                <w:b w:val="0"/>
                <w:bCs w:val="0"/>
                <w:sz w:val="21"/>
                <w:szCs w:val="21"/>
                <w:lang w:val="en-US" w:eastAsia="zh-CN"/>
              </w:rPr>
              <w:t>湿地保护不够有力。《湿地保护管理规定》要求，地方应编制湿地保护规划,除长春市、通化市外，其他各市州均未完成湿地规划编制工作。全省湿地资源动态监测、湿地界碑界桩设立等工作均不到位，违规侵占湿地问题比较突出。根据吉林省湿地执法检查结果，2018年以来，共发现各类人为侵占湿地违法点位153个，侵占湿地面积4700多公顷。</w:t>
            </w:r>
          </w:p>
        </w:tc>
        <w:tc>
          <w:tcPr>
            <w:tcW w:w="1470" w:type="dxa"/>
            <w:vAlign w:val="top"/>
          </w:tcPr>
          <w:p>
            <w:pPr>
              <w:widowControl w:val="0"/>
              <w:numPr>
                <w:numId w:val="0"/>
              </w:numPr>
              <w:wordWrap/>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21"/>
                <w:szCs w:val="21"/>
                <w:lang w:val="en-US" w:eastAsia="zh-CN"/>
              </w:rPr>
              <w:t>加强保护森林意识，减少毁林案件发生。　　</w:t>
            </w:r>
          </w:p>
        </w:tc>
        <w:tc>
          <w:tcPr>
            <w:tcW w:w="4170" w:type="dxa"/>
            <w:vAlign w:val="top"/>
          </w:tcPr>
          <w:p>
            <w:pPr>
              <w:widowControl w:val="0"/>
              <w:numPr>
                <w:numId w:val="0"/>
              </w:numPr>
              <w:wordWrap/>
              <w:adjustRightInd/>
              <w:spacing w:line="240" w:lineRule="auto"/>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1、加强《森林法》等有关林业法律法规宣传，提高广大群各企事业单位保护森林意识，减少毁林案件发生。/2、举一反三，加强耕地、林地监管，建立问题清单，发现问题依法依规及时处理整改。</w:t>
            </w:r>
          </w:p>
          <w:p>
            <w:pPr>
              <w:widowControl w:val="0"/>
              <w:numPr>
                <w:numId w:val="0"/>
              </w:numPr>
              <w:wordWrap/>
              <w:adjustRightInd/>
              <w:spacing w:line="240" w:lineRule="auto"/>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3、2023年6月底前，铁西区农业农村局配合市林业局完成《湿地保护“十四五”规划》编制工作，区农业农村局按照市级规划执行，推动各项重点任务落实，确保完成规划目标。2025 年 12 月底前，完成已认定湿地的界碑界桩、标志牌等保护基础设施建设，明确湿地边界范围。</w:t>
            </w:r>
          </w:p>
          <w:p>
            <w:pPr>
              <w:widowControl w:val="0"/>
              <w:numPr>
                <w:numId w:val="0"/>
              </w:numPr>
              <w:wordWrap/>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21"/>
                <w:szCs w:val="21"/>
                <w:lang w:val="en-US" w:eastAsia="zh-CN"/>
              </w:rPr>
              <w:t>　</w:t>
            </w:r>
          </w:p>
        </w:tc>
        <w:tc>
          <w:tcPr>
            <w:tcW w:w="6117" w:type="dxa"/>
            <w:vAlign w:val="top"/>
          </w:tcPr>
          <w:p>
            <w:pPr>
              <w:numPr>
                <w:ilvl w:val="0"/>
                <w:numId w:val="1"/>
              </w:numPr>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为提高群众对《森林法》等相关林业法规的学习和认识，铁西区农业农村局利用农村定期集市的优势条件对相关法规进行宣传以此为群众普及相关法律法规提高群众保护森林意识减少毁林毁草的案件发生。</w:t>
            </w:r>
          </w:p>
          <w:p>
            <w:pPr>
              <w:numPr>
                <w:ilvl w:val="0"/>
                <w:numId w:val="1"/>
              </w:numPr>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2025年3月3日至6日，铁西区农业农村局联合平西乡对辖区内林地、湿地进行排查，排查中未发现违法占用林地、湿地情况。</w:t>
            </w:r>
          </w:p>
          <w:p>
            <w:pPr>
              <w:numPr>
                <w:ilvl w:val="0"/>
                <w:numId w:val="1"/>
              </w:numPr>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val="0"/>
                <w:sz w:val="21"/>
                <w:szCs w:val="21"/>
                <w:lang w:val="en-US" w:eastAsia="zh-CN"/>
              </w:rPr>
              <w:t>铁西区农业农村局配合市林业局完成《湿地保护“十四五”规划》编制工作,完成了关于湿地、林地相关工作，已于2024年11月完成了认定湿地的界碑界桩、标志牌等保护基础设施建设，共设立公示牌1块，界桩10个明确湿地边界范围。</w:t>
            </w:r>
          </w:p>
          <w:p>
            <w:pPr>
              <w:widowControl w:val="0"/>
              <w:numPr>
                <w:numId w:val="0"/>
              </w:numPr>
              <w:wordWrap/>
              <w:adjustRightInd/>
              <w:spacing w:line="240" w:lineRule="auto"/>
              <w:jc w:val="both"/>
              <w:textAlignment w:val="auto"/>
              <w:rPr>
                <w:rFonts w:hint="default" w:ascii="仿宋_GB2312" w:hAnsi="仿宋_GB2312" w:eastAsia="仿宋_GB2312" w:cs="仿宋_GB2312"/>
                <w:sz w:val="15"/>
                <w:szCs w:val="15"/>
                <w:lang w:val="en-US" w:eastAsia="zh-CN"/>
              </w:rPr>
            </w:pPr>
          </w:p>
        </w:tc>
      </w:tr>
    </w:tbl>
    <w:p/>
    <w:sectPr>
      <w:headerReference r:id="rId4" w:type="default"/>
      <w:footerReference r:id="rId5" w:type="default"/>
      <w:pgSz w:w="16838" w:h="11906" w:orient="landscape"/>
      <w:pgMar w:top="1304" w:right="1440" w:bottom="1304" w:left="1440" w:header="851" w:footer="992" w:gutter="0"/>
      <w:cols w:space="720" w:num="1"/>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CESI楷体-GB2312">
    <w:altName w:val="楷体_GB2312"/>
    <w:panose1 w:val="02000500000000000000"/>
    <w:charset w:val="86"/>
    <w:family w:val="auto"/>
    <w:pitch w:val="default"/>
    <w:sig w:usb0="800002BF" w:usb1="184F6CF8" w:usb2="00000012" w:usb3="00000000" w:csb0="0004000F" w:csb1="00000000"/>
  </w:font>
  <w:font w:name="CESI小标宋-GB2312">
    <w:altName w:val="宋体"/>
    <w:panose1 w:val="02000500000000000000"/>
    <w:charset w:val="86"/>
    <w:family w:val="auto"/>
    <w:pitch w:val="default"/>
    <w:sig w:usb0="800002AF" w:usb1="084F6CF8" w:usb2="00000010" w:usb3="00000000" w:csb0="0004000F" w:csb1="00000000"/>
  </w:font>
  <w:font w:name="方正楷体_GBK">
    <w:altName w:val="微软雅黑"/>
    <w:panose1 w:val="02000000000000000000"/>
    <w:charset w:val="86"/>
    <w:family w:val="auto"/>
    <w:pitch w:val="default"/>
    <w:sig w:usb0="00000001" w:usb1="08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24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1917768">
    <w:nsid w:val="67D38E48"/>
    <w:multiLevelType w:val="singleLevel"/>
    <w:tmpl w:val="67D38E48"/>
    <w:lvl w:ilvl="0" w:tentative="1">
      <w:start w:val="1"/>
      <w:numFmt w:val="decimal"/>
      <w:suff w:val="nothing"/>
      <w:lvlText w:val="%1、"/>
      <w:lvlJc w:val="left"/>
    </w:lvl>
  </w:abstractNum>
  <w:num w:numId="1">
    <w:abstractNumId w:val="17419177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paragraph" w:styleId="2">
    <w:name w:val="Normal Indent"/>
    <w:basedOn w:val="1"/>
    <w:qFormat/>
    <w:uiPriority w:val="0"/>
    <w:pPr>
      <w:ind w:firstLine="420" w:firstLineChars="200"/>
    </w:pPr>
    <w:rPr>
      <w:rFonts w:ascii="Calibri" w:hAnsi="Calibri"/>
    </w:rPr>
  </w:style>
  <w:style w:type="paragraph" w:styleId="3">
    <w:name w:val="Body Text Indent"/>
    <w:basedOn w:val="1"/>
    <w:next w:val="2"/>
    <w:qFormat/>
    <w:uiPriority w:val="0"/>
    <w:pPr>
      <w:spacing w:after="120"/>
      <w:ind w:left="420" w:leftChars="200"/>
    </w:pPr>
    <w:rPr>
      <w:rFonts w:eastAsia="宋体"/>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Body Text First Indent 2"/>
    <w:basedOn w:val="3"/>
    <w:next w:val="1"/>
    <w:unhideWhenUsed/>
    <w:qFormat/>
    <w:uiPriority w:val="0"/>
    <w:pPr>
      <w:ind w:firstLine="420" w:firstLineChars="200"/>
    </w:pPr>
    <w:rPr>
      <w:rFonts w:ascii="Calibri" w:hAnsi="Calibri" w:cs="Times New Roman"/>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character" w:customStyle="1" w:styleId="9">
    <w:name w:val="页眉 Char Char"/>
    <w:basedOn w:val="8"/>
    <w:link w:val="6"/>
    <w:uiPriority w:val="0"/>
    <w:rPr>
      <w:kern w:val="2"/>
      <w:sz w:val="18"/>
      <w:szCs w:val="18"/>
    </w:rPr>
  </w:style>
  <w:style w:type="character" w:customStyle="1" w:styleId="10">
    <w:name w:val="页脚 Char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2590</Words>
  <Characters>2742</Characters>
  <Lines>31</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2025-09-24T05:49:00Z</cp:lastPrinted>
  <dcterms:modified xsi:type="dcterms:W3CDTF">2025-09-24T06:08:32Z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426A0A68AD454E4F900FD9BBA3843378</vt:lpwstr>
  </property>
</Properties>
</file>