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val="0"/>
        <w:spacing w:line="240" w:lineRule="auto"/>
        <w:jc w:val="center"/>
        <w:rPr>
          <w:rFonts w:hint="eastAsia" w:ascii="方正小标宋简体" w:eastAsia="方正小标宋简体"/>
          <w:sz w:val="44"/>
          <w:szCs w:val="44"/>
          <w:highlight w:val="none"/>
        </w:rPr>
      </w:pPr>
      <w:r>
        <w:rPr>
          <w:rFonts w:hint="eastAsia" w:ascii="方正小标宋简体" w:hAnsi="方正小标宋简体" w:eastAsia="方正小标宋简体" w:cs="方正小标宋简体"/>
          <w:color w:val="000000" w:themeColor="text1"/>
          <w:kern w:val="0"/>
          <w:sz w:val="43"/>
          <w:szCs w:val="43"/>
          <w:lang w:val="en-US" w:eastAsia="zh-CN" w:bidi="ar"/>
        </w:rPr>
        <w:t>铁西区</w:t>
      </w:r>
      <w:r>
        <w:rPr>
          <w:rFonts w:ascii="方正小标宋简体" w:hAnsi="方正小标宋简体" w:eastAsia="方正小标宋简体" w:cs="方正小标宋简体"/>
          <w:color w:val="000000" w:themeColor="text1"/>
          <w:kern w:val="0"/>
          <w:sz w:val="43"/>
          <w:szCs w:val="43"/>
          <w:lang w:val="en-US" w:eastAsia="zh-CN" w:bidi="ar"/>
        </w:rPr>
        <w:t>贯彻落实第二轮</w:t>
      </w:r>
      <w:r>
        <w:rPr>
          <w:rFonts w:hint="eastAsia" w:ascii="方正小标宋简体" w:hAnsi="方正小标宋简体" w:eastAsia="方正小标宋简体" w:cs="方正小标宋简体"/>
          <w:color w:val="000000" w:themeColor="text1"/>
          <w:kern w:val="0"/>
          <w:sz w:val="43"/>
          <w:szCs w:val="43"/>
          <w:lang w:val="en-US" w:eastAsia="zh-CN" w:bidi="ar"/>
        </w:rPr>
        <w:t>省级</w:t>
      </w:r>
      <w:r>
        <w:rPr>
          <w:rFonts w:ascii="方正小标宋简体" w:hAnsi="方正小标宋简体" w:eastAsia="方正小标宋简体" w:cs="方正小标宋简体"/>
          <w:color w:val="000000" w:themeColor="text1"/>
          <w:kern w:val="0"/>
          <w:sz w:val="43"/>
          <w:szCs w:val="43"/>
          <w:lang w:val="en-US" w:eastAsia="zh-CN" w:bidi="ar"/>
        </w:rPr>
        <w:t>生态环境</w:t>
      </w:r>
      <w:r>
        <w:rPr>
          <w:rFonts w:hint="eastAsia" w:ascii="方正小标宋简体" w:hAnsi="方正小标宋简体" w:eastAsia="方正小标宋简体" w:cs="方正小标宋简体"/>
          <w:color w:val="000000" w:themeColor="text1"/>
          <w:kern w:val="0"/>
          <w:sz w:val="43"/>
          <w:szCs w:val="43"/>
          <w:lang w:val="en-US" w:eastAsia="zh-CN" w:bidi="ar"/>
        </w:rPr>
        <w:t>保护督察</w:t>
      </w:r>
      <w:r>
        <w:rPr>
          <w:rFonts w:hint="eastAsia" w:ascii="方正小标宋简体" w:eastAsia="方正小标宋简体"/>
          <w:sz w:val="44"/>
          <w:szCs w:val="44"/>
          <w:highlight w:val="none"/>
          <w:lang w:eastAsia="zh-CN"/>
        </w:rPr>
        <w:t>报告</w:t>
      </w:r>
      <w:r>
        <w:rPr>
          <w:rFonts w:hint="eastAsia" w:ascii="方正小标宋简体" w:eastAsia="方正小标宋简体"/>
          <w:sz w:val="44"/>
          <w:szCs w:val="44"/>
          <w:highlight w:val="none"/>
        </w:rPr>
        <w:t>整改</w:t>
      </w:r>
    </w:p>
    <w:p>
      <w:pPr>
        <w:numPr>
          <w:ilvl w:val="0"/>
          <w:numId w:val="0"/>
        </w:numPr>
        <w:snapToGrid w:val="0"/>
        <w:spacing w:line="240" w:lineRule="auto"/>
        <w:jc w:val="center"/>
        <w:rPr>
          <w:rFonts w:ascii="仿宋" w:hAnsi="仿宋" w:eastAsia="仿宋" w:cs="仿宋"/>
          <w:spacing w:val="-20"/>
          <w:sz w:val="32"/>
          <w:szCs w:val="32"/>
        </w:rPr>
      </w:pPr>
      <w:r>
        <w:rPr>
          <w:rFonts w:hint="eastAsia" w:ascii="方正小标宋简体" w:eastAsia="方正小标宋简体"/>
          <w:sz w:val="44"/>
          <w:szCs w:val="44"/>
          <w:highlight w:val="none"/>
        </w:rPr>
        <w:t>任务（序号</w:t>
      </w:r>
      <w:r>
        <w:rPr>
          <w:rFonts w:hint="eastAsia" w:ascii="方正小标宋简体" w:eastAsia="方正小标宋简体"/>
          <w:sz w:val="44"/>
          <w:szCs w:val="44"/>
          <w:highlight w:val="none"/>
          <w:lang w:eastAsia="zh-CN"/>
        </w:rPr>
        <w:t>二十二</w:t>
      </w:r>
      <w:r>
        <w:rPr>
          <w:rFonts w:hint="eastAsia" w:ascii="方正小标宋简体" w:eastAsia="方正小标宋简体"/>
          <w:sz w:val="44"/>
          <w:szCs w:val="44"/>
          <w:highlight w:val="none"/>
        </w:rPr>
        <w:t>）</w:t>
      </w:r>
      <w:r>
        <w:rPr>
          <w:rFonts w:hint="eastAsia" w:ascii="方正小标宋简体" w:hAnsi="方正小标宋简体" w:eastAsia="方正小标宋简体" w:cs="方正小标宋简体"/>
          <w:sz w:val="44"/>
          <w:szCs w:val="44"/>
        </w:rPr>
        <w:t>销号公示表</w:t>
      </w:r>
    </w:p>
    <w:tbl>
      <w:tblPr>
        <w:tblStyle w:val="10"/>
        <w:tblW w:w="15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163"/>
        <w:gridCol w:w="1470"/>
        <w:gridCol w:w="4170"/>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3163"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47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417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6117"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4" w:hRule="atLeast"/>
          <w:jc w:val="center"/>
        </w:trPr>
        <w:tc>
          <w:tcPr>
            <w:tcW w:w="840" w:type="dxa"/>
            <w:vAlign w:val="top"/>
          </w:tcPr>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210" w:leftChars="100" w:firstLine="0" w:firstLineChars="0"/>
              <w:jc w:val="both"/>
              <w:rPr>
                <w:rFonts w:ascii="仿宋" w:hAnsi="仿宋" w:eastAsia="仿宋" w:cs="仿宋"/>
                <w:sz w:val="24"/>
              </w:rPr>
            </w:pPr>
            <w:r>
              <w:rPr>
                <w:rFonts w:hint="eastAsia"/>
                <w:lang w:val="en-US" w:eastAsia="zh-CN"/>
              </w:rPr>
              <w:t>二十二</w:t>
            </w:r>
          </w:p>
        </w:tc>
        <w:tc>
          <w:tcPr>
            <w:tcW w:w="3163"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 xml:space="preserve"> 存在非法制砂洗砂现象。督察组在铁西区平西乡西八大村、铁东区城东乡永乐村发现三处制砂洗砂场，三户企业均为从外地购原料本地制砂洗砂，无经营许可，非法取用地下水，无污染防治设施，大量洗砂废水直排，造成水资源浪费及生态破坏。在河道采砂及矿山采砂禁止的情况下，相关部门对制砂洗砂非法生产经营活动疏于监管，易形成环境风险隐患。</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p>
        </w:tc>
        <w:tc>
          <w:tcPr>
            <w:tcW w:w="1470"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坚决打击河道非法制砂洗砂、无照经营等行为，健全各项相关手续，完善污染防治设施，对限期不能完成的责令停产关闭。</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p>
        </w:tc>
        <w:tc>
          <w:tcPr>
            <w:tcW w:w="4170"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（一）铁西区开展联合检查工作，对非法制砂洗砂、河道非法采砂等问题开展核查，核查发现的问题如果涉及违法犯罪，及时向铁西公安分局移送案件线索，由公安部门进行处理。</w:t>
            </w:r>
          </w:p>
          <w:p>
            <w:pPr>
              <w:widowControl w:val="0"/>
              <w:wordWrap/>
              <w:adjustRightInd/>
              <w:snapToGrid/>
              <w:spacing w:before="0" w:after="0" w:line="240" w:lineRule="auto"/>
              <w:ind w:left="0" w:leftChars="0" w:right="0" w:firstLine="0" w:firstLineChars="0"/>
              <w:jc w:val="both"/>
              <w:textAlignment w:val="auto"/>
              <w:outlineLvl w:val="9"/>
              <w:rPr>
                <w:rFonts w:hint="default"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（二）市市场监管局铁西分局严格落实属地监管责任，加强日常巡查检查，坚决查处制砂洗砂行业无照经营行为。无照经营下违法经营金额超过五万元的违法犯罪案件及时移送铁西公安分局进行处理。</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（三）生态环境局铁西区分局强化日常监管，对平西乡西八大村制砂洗砂场以及辖区内制砂洗砂企业开展检查督导，对相关手续缺失和无污染防治设施的企业，不能在限期内整改完成的，责令停业关闭。</w:t>
            </w:r>
          </w:p>
          <w:p>
            <w:pPr>
              <w:keepNext w:val="0"/>
              <w:keepLines w:val="0"/>
              <w:pageBreakBefore w:val="0"/>
              <w:widowControl w:val="0"/>
              <w:numPr>
                <w:ilvl w:val="0"/>
                <w:numId w:val="0"/>
              </w:numPr>
              <w:kinsoku/>
              <w:wordWrap/>
              <w:topLinePunct w:val="0"/>
              <w:autoSpaceDE/>
              <w:autoSpaceDN/>
              <w:bidi w:val="0"/>
              <w:adjustRightInd/>
              <w:spacing w:line="240" w:lineRule="auto"/>
              <w:ind w:firstLine="300" w:firstLineChars="200"/>
              <w:jc w:val="both"/>
              <w:textAlignment w:val="auto"/>
              <w:rPr>
                <w:rFonts w:hint="eastAsia" w:ascii="仿宋_GB2312" w:hAnsi="仿宋_GB2312" w:eastAsia="仿宋_GB2312" w:cs="仿宋_GB2312"/>
                <w:sz w:val="15"/>
                <w:szCs w:val="15"/>
                <w:lang w:val="en-US" w:eastAsia="zh-CN"/>
              </w:rPr>
            </w:pPr>
          </w:p>
        </w:tc>
        <w:tc>
          <w:tcPr>
            <w:tcW w:w="6117" w:type="dxa"/>
            <w:vAlign w:val="top"/>
          </w:tcPr>
          <w:p>
            <w:pPr>
              <w:numPr>
                <w:ilvl w:val="0"/>
                <w:numId w:val="0"/>
              </w:numPr>
              <w:overflowPunct w:val="0"/>
              <w:spacing w:line="240" w:lineRule="auto"/>
              <w:jc w:val="left"/>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1.铁西区协调铁西公安分局、生态环境局铁西分局、市市场监督管理局铁西分局于2023年8月7日针对铁西区区域内非法制砂洗砂、河道非法采砂等问题开展核查，对铁西区重点单位天宇商砼进行现场检查。</w:t>
            </w:r>
          </w:p>
          <w:p>
            <w:pPr>
              <w:numPr>
                <w:ilvl w:val="0"/>
                <w:numId w:val="0"/>
              </w:numPr>
              <w:overflowPunct w:val="0"/>
              <w:spacing w:line="240" w:lineRule="auto"/>
              <w:jc w:val="left"/>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2.市市场监督管理局铁西分局针对制砂洗砂行业无照经营行为，对四平市佰亿商砼有限公司后院制砂洗砂场所进性检查，经查该场所未生产。2023年5月10日该制砂洗砂场所负责人向市市场监督管理局铁西分局提供营业执照其经营范围为建筑材料销售、建筑用石加工、非金属矿物制品制造（除依法须经批准的项目外，凭营业执照依法自主开展经营活动）包含机制砂制造。</w:t>
            </w:r>
          </w:p>
          <w:p>
            <w:pPr>
              <w:widowControl w:val="0"/>
              <w:wordWrap/>
              <w:adjustRightInd/>
              <w:snapToGrid/>
              <w:spacing w:before="0" w:after="0" w:line="240" w:lineRule="auto"/>
              <w:ind w:left="0" w:leftChars="0" w:right="0" w:firstLine="0" w:firstLineChars="0"/>
              <w:jc w:val="both"/>
              <w:textAlignment w:val="auto"/>
              <w:outlineLvl w:val="9"/>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b w:val="0"/>
                <w:bCs w:val="0"/>
                <w:sz w:val="18"/>
                <w:szCs w:val="18"/>
                <w:lang w:val="en-US" w:eastAsia="zh-CN"/>
              </w:rPr>
              <w:t>3.生态环境局铁西区分局对平西乡西八大村制砂洗砂场以及辖区内制砂洗砂企业开展检查督导，经检查四平市佰商砼有限公司碎石机制砂生产线线项目于2022年10月13日做的环境影响评价报告表并通过四平市生态环境局批复，2023年1月4日通过验收手续，依据验收检测结果，该项目无组织废弃污染物颗粒物和厂界噪声满足相关标准，现场原料、碎石等用防尘网苫盖，道路采取硬面化及洒水防尘措施，目前该企业不存在手续不全和没有污染防治设施的问题。</w:t>
            </w:r>
          </w:p>
        </w:tc>
      </w:tr>
    </w:tbl>
    <w:p>
      <w:bookmarkStart w:id="0" w:name="_GoBack"/>
      <w:bookmarkEnd w:id="0"/>
    </w:p>
    <w:sectPr>
      <w:headerReference r:id="rId3" w:type="default"/>
      <w:footerReference r:id="rId4" w:type="default"/>
      <w:pgSz w:w="16838" w:h="11906" w:orient="landscape"/>
      <w:pgMar w:top="1304" w:right="1440" w:bottom="1304" w:left="1440" w:header="851" w:footer="992" w:gutter="0"/>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2</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4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ZmYTM0NTMyMTIxZDNjYzFjMWY4MjgxZDQ0MzE0NTkifQ=="/>
  </w:docVars>
  <w:rsids>
    <w:rsidRoot w:val="00000000"/>
    <w:rsid w:val="051A51B8"/>
    <w:rsid w:val="05DF6C72"/>
    <w:rsid w:val="07D01B5E"/>
    <w:rsid w:val="081C66A3"/>
    <w:rsid w:val="0B804C54"/>
    <w:rsid w:val="0B930F0C"/>
    <w:rsid w:val="0E5928AD"/>
    <w:rsid w:val="111927C8"/>
    <w:rsid w:val="12394ECF"/>
    <w:rsid w:val="13400651"/>
    <w:rsid w:val="162A4C5D"/>
    <w:rsid w:val="18B23F26"/>
    <w:rsid w:val="192D696A"/>
    <w:rsid w:val="1A444411"/>
    <w:rsid w:val="1ABF65DF"/>
    <w:rsid w:val="1D7033D2"/>
    <w:rsid w:val="22833F45"/>
    <w:rsid w:val="22C35778"/>
    <w:rsid w:val="25B508B9"/>
    <w:rsid w:val="277976C4"/>
    <w:rsid w:val="2A33750D"/>
    <w:rsid w:val="2A68440F"/>
    <w:rsid w:val="2A6B0E0C"/>
    <w:rsid w:val="2E1343CF"/>
    <w:rsid w:val="2F8C268B"/>
    <w:rsid w:val="2FCC18B4"/>
    <w:rsid w:val="33EB36F8"/>
    <w:rsid w:val="382F3F10"/>
    <w:rsid w:val="3AE95F79"/>
    <w:rsid w:val="44B44B20"/>
    <w:rsid w:val="4A6F4C2B"/>
    <w:rsid w:val="4A807476"/>
    <w:rsid w:val="576715EC"/>
    <w:rsid w:val="597F46D7"/>
    <w:rsid w:val="5B4C65BA"/>
    <w:rsid w:val="5B9B5F67"/>
    <w:rsid w:val="5DD46E27"/>
    <w:rsid w:val="5E192A8C"/>
    <w:rsid w:val="61C76D76"/>
    <w:rsid w:val="64BB3323"/>
    <w:rsid w:val="694A1490"/>
    <w:rsid w:val="6A880AF0"/>
    <w:rsid w:val="6BA976F3"/>
    <w:rsid w:val="6CD059C5"/>
    <w:rsid w:val="6E302AFF"/>
    <w:rsid w:val="6E492F1A"/>
    <w:rsid w:val="703277AB"/>
    <w:rsid w:val="74AB7FAB"/>
    <w:rsid w:val="7C9201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Autospacing="0" w:line="480" w:lineRule="auto"/>
      <w:ind w:left="200" w:leftChars="200"/>
    </w:pPr>
    <w:rPr>
      <w:rFonts w:ascii="Times New Roman" w:hAnsi="Times New Roman" w:eastAsia="宋体" w:cs="Times New Roman"/>
    </w:rPr>
  </w:style>
  <w:style w:type="paragraph" w:styleId="3">
    <w:name w:val="Normal Indent"/>
    <w:basedOn w:val="1"/>
    <w:qFormat/>
    <w:uiPriority w:val="0"/>
    <w:pPr>
      <w:ind w:firstLine="420" w:firstLineChars="200"/>
    </w:pPr>
    <w:rPr>
      <w:rFonts w:ascii="Calibri" w:hAnsi="Calibri"/>
    </w:rPr>
  </w:style>
  <w:style w:type="paragraph" w:styleId="4">
    <w:name w:val="Body Text Indent"/>
    <w:basedOn w:val="1"/>
    <w:next w:val="3"/>
    <w:qFormat/>
    <w:uiPriority w:val="0"/>
    <w:pPr>
      <w:spacing w:after="120"/>
      <w:ind w:left="420" w:leftChars="200"/>
    </w:pPr>
    <w:rPr>
      <w:rFonts w:eastAsia="宋体"/>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after="120" w:line="480" w:lineRule="auto"/>
    </w:p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paragraph" w:styleId="9">
    <w:name w:val="Body Text First Indent 2"/>
    <w:basedOn w:val="4"/>
    <w:next w:val="1"/>
    <w:unhideWhenUsed/>
    <w:qFormat/>
    <w:uiPriority w:val="0"/>
    <w:pPr>
      <w:ind w:firstLine="420" w:firstLineChars="200"/>
    </w:pPr>
    <w:rPr>
      <w:rFonts w:ascii="Calibri" w:hAnsi="Calibri" w:cs="Times New Roman"/>
    </w:rPr>
  </w:style>
  <w:style w:type="character" w:customStyle="1" w:styleId="12">
    <w:name w:val="页眉 Char Char"/>
    <w:basedOn w:val="11"/>
    <w:link w:val="6"/>
    <w:qFormat/>
    <w:uiPriority w:val="0"/>
    <w:rPr>
      <w:kern w:val="2"/>
      <w:sz w:val="18"/>
      <w:szCs w:val="18"/>
    </w:rPr>
  </w:style>
  <w:style w:type="character" w:customStyle="1" w:styleId="13">
    <w:name w:val="页脚 Char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1964</Words>
  <Characters>2028</Characters>
  <Lines>31</Lines>
  <Paragraphs>8</Paragraphs>
  <TotalTime>0</TotalTime>
  <ScaleCrop>false</ScaleCrop>
  <LinksUpToDate>false</LinksUpToDate>
  <CharactersWithSpaces>2041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2018-04-23T06:05:00Z</dcterms:created>
  <dc:creator>321</dc:creator>
  <cp:lastModifiedBy>Administrator</cp:lastModifiedBy>
  <cp:lastPrinted>2020-02-15T01:32:00Z</cp:lastPrinted>
  <dcterms:modified xsi:type="dcterms:W3CDTF">2023-10-16T05:32:04Z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426A0A68AD454E4F900FD9BBA3843378</vt:lpwstr>
  </property>
</Properties>
</file>