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40" w:lineRule="auto"/>
        <w:jc w:val="center"/>
        <w:rPr>
          <w:rFonts w:hint="eastAsia" w:ascii="方正小标宋简体" w:eastAsia="方正小标宋简体"/>
          <w:sz w:val="44"/>
          <w:szCs w:val="44"/>
          <w:highlight w:val="none"/>
        </w:rPr>
      </w:pP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铁西区</w:t>
      </w:r>
      <w:r>
        <w:rPr>
          <w:rFonts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贯彻落实第二轮中央生态环境</w:t>
      </w:r>
      <w:r>
        <w:rPr>
          <w:rFonts w:hint="eastAsia" w:ascii="方正小标宋简体" w:hAnsi="方正小标宋简体" w:eastAsia="方正小标宋简体" w:cs="方正小标宋简体"/>
          <w:color w:val="000000" w:themeColor="text1"/>
          <w:kern w:val="0"/>
          <w:sz w:val="43"/>
          <w:szCs w:val="43"/>
          <w:lang w:val="en-US" w:eastAsia="zh-CN" w:bidi="ar"/>
          <w14:textFill>
            <w14:solidFill>
              <w14:schemeClr w14:val="tx1"/>
            </w14:solidFill>
          </w14:textFill>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二十八</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6"/>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443"/>
        <w:gridCol w:w="1740"/>
        <w:gridCol w:w="4620"/>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44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7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62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7"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210" w:leftChars="100" w:firstLine="0" w:firstLineChars="0"/>
              <w:jc w:val="both"/>
              <w:rPr>
                <w:rFonts w:ascii="仿宋" w:hAnsi="仿宋" w:eastAsia="仿宋" w:cs="仿宋"/>
                <w:sz w:val="24"/>
              </w:rPr>
            </w:pPr>
            <w:r>
              <w:rPr>
                <w:rFonts w:hint="eastAsia"/>
                <w:lang w:val="en-US" w:eastAsia="zh-CN"/>
              </w:rPr>
              <w:t>二十八</w:t>
            </w:r>
          </w:p>
        </w:tc>
        <w:tc>
          <w:tcPr>
            <w:tcW w:w="2443" w:type="dxa"/>
            <w:vAlign w:val="top"/>
          </w:tcPr>
          <w:p>
            <w:pPr>
              <w:widowControl w:val="0"/>
              <w:wordWrap/>
              <w:adjustRightInd/>
              <w:snapToGrid/>
              <w:spacing w:before="0" w:after="0" w:line="240" w:lineRule="auto"/>
              <w:ind w:left="0" w:leftChars="0" w:right="0" w:firstLine="0" w:firstLineChars="0"/>
              <w:jc w:val="both"/>
              <w:textAlignment w:val="auto"/>
              <w:outlineLvl w:val="9"/>
              <w:rPr>
                <w:rFonts w:ascii="仿宋" w:hAnsi="仿宋" w:eastAsia="仿宋" w:cs="仿宋"/>
                <w:sz w:val="18"/>
                <w:szCs w:val="18"/>
              </w:rPr>
            </w:pPr>
            <w:r>
              <w:rPr>
                <w:rFonts w:hint="eastAsia" w:ascii="仿宋_GB2312" w:hAnsi="仿宋_GB2312" w:eastAsia="仿宋_GB2312" w:cs="仿宋_GB2312"/>
                <w:b w:val="0"/>
                <w:bCs w:val="0"/>
                <w:sz w:val="15"/>
                <w:szCs w:val="15"/>
                <w:lang w:val="en-US" w:eastAsia="zh-CN"/>
              </w:rPr>
              <w:t>黑土地保护部分措施落实不到位。《吉林省黑土地保护条例》已颁布实施3年，但配套措施推进缓慢，部分工作落实不到位。截至督察进驻时，省级黑土地保护总体规划仍未完成编制，黑土地保护责任考核和督察工作体系还不健全，黑土地质量监测和信息发布、质量标准和分等定级技术规范等配套制度均未建立。</w:t>
            </w:r>
          </w:p>
        </w:tc>
        <w:tc>
          <w:tcPr>
            <w:tcW w:w="1740" w:type="dxa"/>
            <w:vAlign w:val="top"/>
          </w:tcPr>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val="0"/>
                <w:bCs w:val="0"/>
                <w:color w:val="000000" w:themeColor="text1"/>
                <w:sz w:val="18"/>
                <w:szCs w:val="18"/>
                <w:lang w:val="en-US" w:eastAsia="zh-CN"/>
                <w14:textFill>
                  <w14:solidFill>
                    <w14:schemeClr w14:val="tx1"/>
                  </w14:solidFill>
                </w14:textFill>
              </w:rPr>
              <w:t>进一步完善黑土地保护制度，确保保护措施得到有效落实。</w:t>
            </w:r>
            <w:r>
              <w:rPr>
                <w:rFonts w:hint="eastAsia" w:ascii="仿宋_GB2312" w:hAnsi="仿宋_GB2312" w:eastAsia="仿宋_GB2312" w:cs="仿宋_GB2312"/>
                <w:b w:val="0"/>
                <w:bCs w:val="0"/>
                <w:sz w:val="21"/>
                <w:szCs w:val="21"/>
                <w:lang w:val="en-US" w:eastAsia="zh-CN"/>
              </w:rPr>
              <w:t>　　　　</w:t>
            </w:r>
            <w:r>
              <w:rPr>
                <w:rFonts w:hint="eastAsia" w:ascii="仿宋_GB2312" w:hAnsi="仿宋_GB2312" w:eastAsia="仿宋_GB2312" w:cs="仿宋_GB2312"/>
                <w:b w:val="0"/>
                <w:bCs w:val="0"/>
                <w:sz w:val="18"/>
                <w:szCs w:val="18"/>
                <w:lang w:val="en-US" w:eastAsia="zh-CN"/>
              </w:rPr>
              <w:t>　　　　　　</w:t>
            </w:r>
          </w:p>
        </w:tc>
        <w:tc>
          <w:tcPr>
            <w:tcW w:w="4620" w:type="dxa"/>
            <w:vAlign w:val="top"/>
          </w:tcPr>
          <w:p>
            <w:pPr>
              <w:widowControl/>
              <w:spacing w:line="30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1.区农业农村局、平西乡党委政府的主要负责同志及相关业务科室要深入学习习近平总书记关于黑土地保护和视察吉林、视察四平重要讲话重要指示精神、《中共吉林省委吉林省人民政府</w:t>
            </w:r>
            <w:bookmarkStart w:id="0" w:name="_GoBack"/>
            <w:bookmarkEnd w:id="0"/>
            <w:r>
              <w:rPr>
                <w:rFonts w:hint="eastAsia" w:ascii="仿宋_GB2312" w:hAnsi="仿宋_GB2312" w:eastAsia="仿宋_GB2312" w:cs="仿宋_GB2312"/>
                <w:b w:val="0"/>
                <w:bCs w:val="0"/>
                <w:sz w:val="21"/>
                <w:szCs w:val="21"/>
                <w:lang w:val="en-US" w:eastAsia="zh-CN"/>
              </w:rPr>
              <w:t>关于全面加强黑土地保护的实施意见》、《吉林省黑土地保护条例》和《2022年四平市黑土地保护工作推进方案》,统一思想认识,构建协同推进的工作格局。</w:t>
            </w:r>
          </w:p>
          <w:p>
            <w:pPr>
              <w:widowControl/>
              <w:spacing w:line="300" w:lineRule="exac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2.科学建立黑土地档案，完善黑土地保护制度体系。</w:t>
            </w:r>
          </w:p>
          <w:p>
            <w:pPr>
              <w:keepNext w:val="0"/>
              <w:keepLines w:val="0"/>
              <w:pageBreakBefore w:val="0"/>
              <w:widowControl w:val="0"/>
              <w:numPr>
                <w:ilvl w:val="0"/>
                <w:numId w:val="0"/>
              </w:numPr>
              <w:kinsoku/>
              <w:wordWrap/>
              <w:topLinePunct w:val="0"/>
              <w:autoSpaceDE/>
              <w:autoSpaceDN/>
              <w:bidi w:val="0"/>
              <w:adjustRightInd/>
              <w:spacing w:line="240" w:lineRule="auto"/>
              <w:ind w:firstLine="420" w:firstLineChars="20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val="0"/>
                <w:bCs w:val="0"/>
                <w:sz w:val="21"/>
                <w:szCs w:val="21"/>
                <w:lang w:val="en-US" w:eastAsia="zh-CN"/>
              </w:rPr>
              <w:t>3.鼓励养殖场户采取堆沤发酵粪肥就地就近还田。实施高标准农田建设项目,积极施用区域粪污处理中心生产的商品有机肥,实现化肥使用量"零增长",助力黑土地保护。</w:t>
            </w:r>
          </w:p>
        </w:tc>
        <w:tc>
          <w:tcPr>
            <w:tcW w:w="6117" w:type="dxa"/>
            <w:vAlign w:val="top"/>
          </w:tcPr>
          <w:p>
            <w:pPr>
              <w:pStyle w:val="2"/>
              <w:numPr>
                <w:ilvl w:val="0"/>
                <w:numId w:val="0"/>
              </w:numPr>
              <w:rPr>
                <w:rFonts w:hint="default"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1.铁西区农业农村局召开“喜迎二十大、科普向未来、黑土地保护科普专场”，平西乡政府召开2022年保护性耕作在落实会议，深入学习黑土地保护方面的思想和政策，统一思想认识。</w:t>
            </w:r>
          </w:p>
          <w:p>
            <w:pPr>
              <w:numPr>
                <w:ilvl w:val="0"/>
                <w:numId w:val="0"/>
              </w:numP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2.铁西区农业农村局制定2022年铁西区黑土地保护工作流程、2022年铁西区黑土地保护工作任务清单、黑土地保护责任清单、黑土地保护工作监督清单等，完善黑土地保护制度体系</w:t>
            </w:r>
          </w:p>
          <w:p>
            <w:pPr>
              <w:numPr>
                <w:ilvl w:val="0"/>
                <w:numId w:val="0"/>
              </w:numPr>
              <w:rPr>
                <w:rFonts w:hint="default"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kern w:val="2"/>
                <w:sz w:val="21"/>
                <w:szCs w:val="21"/>
                <w:lang w:val="en-US" w:eastAsia="zh-CN" w:bidi="ar-SA"/>
              </w:rPr>
              <w:t>3.铁西区农业农村局实施铁西区农业综合开发2018年平西乡高标准农田建设项目，助力黑土地保护。</w:t>
            </w:r>
          </w:p>
          <w:p>
            <w:pPr>
              <w:keepNext w:val="0"/>
              <w:keepLines w:val="0"/>
              <w:pageBreakBefore w:val="0"/>
              <w:widowControl w:val="0"/>
              <w:numPr>
                <w:ilvl w:val="0"/>
                <w:numId w:val="0"/>
              </w:numPr>
              <w:kinsoku/>
              <w:wordWrap/>
              <w:topLinePunct w:val="0"/>
              <w:autoSpaceDE/>
              <w:autoSpaceDN/>
              <w:bidi w:val="0"/>
              <w:adjustRightInd/>
              <w:spacing w:line="240" w:lineRule="auto"/>
              <w:jc w:val="both"/>
              <w:textAlignment w:val="auto"/>
              <w:rPr>
                <w:rFonts w:hint="default" w:ascii="仿宋_GB2312" w:hAnsi="仿宋_GB2312" w:eastAsia="仿宋_GB2312" w:cs="仿宋_GB2312"/>
                <w:sz w:val="18"/>
                <w:szCs w:val="18"/>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Y2U4YjgwYWVhYmQyNWQ0YzI1NWRhNDk2ZTJiMmIifQ=="/>
  </w:docVars>
  <w:rsids>
    <w:rsidRoot w:val="19D0241B"/>
    <w:rsid w:val="19D0241B"/>
    <w:rsid w:val="27B7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Calibri" w:hAnsi="Calibri" w:cs="Times New Roman"/>
    </w:rPr>
  </w:style>
  <w:style w:type="paragraph" w:styleId="3">
    <w:name w:val="Body Text Indent"/>
    <w:basedOn w:val="1"/>
    <w:next w:val="4"/>
    <w:qFormat/>
    <w:uiPriority w:val="0"/>
    <w:pPr>
      <w:spacing w:after="120"/>
      <w:ind w:left="420" w:leftChars="200"/>
    </w:pPr>
    <w:rPr>
      <w:rFonts w:eastAsia="宋体"/>
    </w:rPr>
  </w:style>
  <w:style w:type="paragraph" w:styleId="4">
    <w:name w:val="Normal Indent"/>
    <w:basedOn w:val="1"/>
    <w:qFormat/>
    <w:uiPriority w:val="0"/>
    <w:pPr>
      <w:ind w:firstLine="420" w:firstLineChars="20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677</Words>
  <Characters>699</Characters>
  <Lines>0</Lines>
  <Paragraphs>0</Paragraphs>
  <TotalTime>0</TotalTime>
  <ScaleCrop>false</ScaleCrop>
  <LinksUpToDate>false</LinksUpToDate>
  <CharactersWithSpaces>709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2022-12-30T08:55:00Z</dcterms:created>
  <dc:creator>少年宫舞蹈艺术培训中心</dc:creator>
  <cp:lastModifiedBy>Czy.</cp:lastModifiedBy>
  <dcterms:modified xsi:type="dcterms:W3CDTF">2023-01-30T03:20:14Z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6FB28BF76B904D218F697203D50168E6</vt:lpwstr>
  </property>
</Properties>
</file>