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44"/>
          <w:szCs w:val="44"/>
        </w:rPr>
      </w:pPr>
      <w:r>
        <w:rPr>
          <w:rFonts w:hint="eastAsia" w:ascii="方正小标宋简体" w:hAnsi="方正小标宋简体" w:eastAsia="方正小标宋简体" w:cs="方正小标宋简体"/>
          <w:color w:val="000000" w:themeColor="text1"/>
          <w:kern w:val="0"/>
          <w:sz w:val="43"/>
          <w:szCs w:val="43"/>
          <w:lang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bidi="ar"/>
          <w14:textFill>
            <w14:solidFill>
              <w14:schemeClr w14:val="tx1"/>
            </w14:solidFill>
          </w14:textFill>
        </w:rPr>
        <w:t>贯彻落实第二轮中央生态环境</w:t>
      </w:r>
      <w:r>
        <w:rPr>
          <w:rFonts w:hint="eastAsia" w:ascii="方正小标宋简体" w:hAnsi="方正小标宋简体" w:eastAsia="方正小标宋简体" w:cs="方正小标宋简体"/>
          <w:color w:val="000000" w:themeColor="text1"/>
          <w:kern w:val="0"/>
          <w:sz w:val="43"/>
          <w:szCs w:val="43"/>
          <w:lang w:bidi="ar"/>
          <w14:textFill>
            <w14:solidFill>
              <w14:schemeClr w14:val="tx1"/>
            </w14:solidFill>
          </w14:textFill>
        </w:rPr>
        <w:t>保护督察</w:t>
      </w:r>
      <w:r>
        <w:rPr>
          <w:rFonts w:hint="eastAsia" w:ascii="方正小标宋简体" w:eastAsia="方正小标宋简体"/>
          <w:sz w:val="44"/>
          <w:szCs w:val="44"/>
        </w:rPr>
        <w:t>报告整改</w:t>
      </w:r>
    </w:p>
    <w:p>
      <w:pPr>
        <w:snapToGrid w:val="0"/>
        <w:jc w:val="center"/>
        <w:rPr>
          <w:rFonts w:ascii="仿宋" w:hAnsi="仿宋" w:eastAsia="仿宋" w:cs="仿宋"/>
          <w:spacing w:val="-20"/>
          <w:sz w:val="32"/>
          <w:szCs w:val="32"/>
        </w:rPr>
      </w:pPr>
      <w:bookmarkStart w:id="0" w:name="_GoBack"/>
      <w:r>
        <w:rPr>
          <w:rFonts w:hint="eastAsia" w:ascii="方正小标宋简体" w:eastAsia="方正小标宋简体"/>
          <w:sz w:val="44"/>
          <w:szCs w:val="44"/>
        </w:rPr>
        <w:t>任务（序号三十四）</w:t>
      </w:r>
      <w:r>
        <w:rPr>
          <w:rFonts w:hint="eastAsia" w:ascii="方正小标宋简体" w:hAnsi="方正小标宋简体" w:eastAsia="方正小标宋简体" w:cs="方正小标宋简体"/>
          <w:sz w:val="44"/>
          <w:szCs w:val="44"/>
        </w:rPr>
        <w:t>销号公示表</w:t>
      </w:r>
      <w:bookmarkEnd w:id="0"/>
    </w:p>
    <w:tbl>
      <w:tblPr>
        <w:tblStyle w:val="6"/>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43"/>
        <w:gridCol w:w="1740"/>
        <w:gridCol w:w="3816"/>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44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7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381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92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jc w:val="center"/>
        </w:trPr>
        <w:tc>
          <w:tcPr>
            <w:tcW w:w="840" w:type="dxa"/>
          </w:tcPr>
          <w:p/>
          <w:p/>
          <w:p/>
          <w:p/>
          <w:p/>
          <w:p/>
          <w:p/>
          <w:p/>
          <w:p/>
          <w:p>
            <w:pPr>
              <w:ind w:left="210" w:leftChars="100"/>
              <w:rPr>
                <w:rFonts w:ascii="仿宋" w:hAnsi="仿宋" w:eastAsia="仿宋" w:cs="仿宋"/>
                <w:sz w:val="24"/>
              </w:rPr>
            </w:pPr>
            <w:r>
              <w:rPr>
                <w:rFonts w:hint="eastAsia" w:ascii="仿宋" w:hAnsi="仿宋" w:eastAsia="仿宋" w:cs="仿宋"/>
                <w:sz w:val="24"/>
              </w:rPr>
              <w:t>三十四</w:t>
            </w:r>
          </w:p>
        </w:tc>
        <w:tc>
          <w:tcPr>
            <w:tcW w:w="2443" w:type="dxa"/>
            <w:vAlign w:val="center"/>
          </w:tcPr>
          <w:p>
            <w:pPr>
              <w:rPr>
                <w:rFonts w:ascii="仿宋_GB2312" w:hAnsi="仿宋_GB2312" w:eastAsia="仿宋_GB2312" w:cs="仿宋_GB2312"/>
                <w:sz w:val="15"/>
                <w:szCs w:val="15"/>
              </w:rPr>
            </w:pPr>
            <w:r>
              <w:rPr>
                <w:rFonts w:hint="eastAsia" w:ascii="仿宋_GB2312" w:hAnsi="仿宋_GB2312" w:eastAsia="仿宋_GB2312" w:cs="仿宋_GB2312"/>
                <w:sz w:val="15"/>
                <w:szCs w:val="15"/>
              </w:rPr>
              <w:t>全省大多数工业集聚区都分布在城市周边，一些园区内企业的生产存在大量高温高压工艺，其原料或产品多属易燃易爆、有毒有害物质，安全管控手段也不够到位，存在一定次生环境风险。</w:t>
            </w:r>
          </w:p>
        </w:tc>
        <w:tc>
          <w:tcPr>
            <w:tcW w:w="1740" w:type="dxa"/>
            <w:vAlign w:val="center"/>
          </w:tcPr>
          <w:p>
            <w:pPr>
              <w:rPr>
                <w:rFonts w:ascii="仿宋_GB2312" w:hAnsi="仿宋_GB2312" w:eastAsia="仿宋_GB2312" w:cs="仿宋_GB2312"/>
                <w:sz w:val="15"/>
                <w:szCs w:val="15"/>
              </w:rPr>
            </w:pPr>
            <w:r>
              <w:rPr>
                <w:rFonts w:hint="eastAsia" w:ascii="仿宋_GB2312" w:hAnsi="仿宋_GB2312" w:eastAsia="仿宋_GB2312" w:cs="仿宋_GB2312"/>
                <w:sz w:val="15"/>
                <w:szCs w:val="15"/>
              </w:rPr>
              <w:t>全区工业集聚区内使用高温高压工艺、易燃易爆、有毒有害物质原料的企业安全生产和环境风险防范措施得到有效落实，安全管控和环境风险防范水平进一步提升。　　　　　　　　　　　　　　　　　　　　　　　　　　　　　　　　　　　　　　　　　　　　　　　　　　　　　　　　　　　　　　　　　　　　　　</w:t>
            </w:r>
          </w:p>
        </w:tc>
        <w:tc>
          <w:tcPr>
            <w:tcW w:w="3816" w:type="dxa"/>
            <w:vAlign w:val="center"/>
          </w:tcPr>
          <w:p>
            <w:pPr>
              <w:pStyle w:val="2"/>
              <w:ind w:left="0" w:leftChars="0" w:firstLine="0" w:firstLineChars="0"/>
              <w:rPr>
                <w:rFonts w:ascii="仿宋_GB2312" w:hAnsi="仿宋_GB2312" w:eastAsia="仿宋_GB2312" w:cs="仿宋_GB2312"/>
                <w:sz w:val="15"/>
                <w:szCs w:val="15"/>
              </w:rPr>
            </w:pPr>
            <w:r>
              <w:rPr>
                <w:rFonts w:hint="eastAsia" w:ascii="仿宋_GB2312" w:hAnsi="仿宋_GB2312" w:eastAsia="仿宋_GB2312" w:cs="仿宋_GB2312"/>
                <w:sz w:val="15"/>
                <w:szCs w:val="15"/>
              </w:rPr>
              <w:t>1.红嘴开发区安全生产监督管理局会同区应急管理局、区工信局等相关部门，对工业园区内使用高温高压工艺、易燃易爆、有毒有害物质原料等企业开展安全生产隐患排查，梳理风险隐患，完善应急预案及防控措施。</w:t>
            </w:r>
          </w:p>
          <w:p>
            <w:pPr>
              <w:pStyle w:val="2"/>
              <w:ind w:left="0" w:leftChars="0" w:firstLine="0" w:firstLineChars="0"/>
              <w:rPr>
                <w:rFonts w:ascii="仿宋_GB2312" w:hAnsi="仿宋_GB2312" w:eastAsia="仿宋_GB2312" w:cs="仿宋_GB2312"/>
                <w:sz w:val="15"/>
                <w:szCs w:val="15"/>
              </w:rPr>
            </w:pPr>
            <w:r>
              <w:rPr>
                <w:rFonts w:hint="eastAsia" w:ascii="仿宋_GB2312" w:hAnsi="仿宋_GB2312" w:eastAsia="仿宋_GB2312" w:cs="仿宋_GB2312"/>
                <w:sz w:val="15"/>
                <w:szCs w:val="15"/>
              </w:rPr>
              <w:t>2.红嘴开发区安全生产监督管理局严格落实易燃易爆、有毒有害物质管控措施，建立易燃易爆、有毒有害物质企业台账，加强督导检查力度和检查频次，督导企业加强对易燃易爆、有毒有害物质的储存、运输装卸和使用管理。</w:t>
            </w:r>
          </w:p>
          <w:p>
            <w:pPr>
              <w:pStyle w:val="2"/>
              <w:ind w:left="0" w:leftChars="0" w:firstLine="0" w:firstLineChars="0"/>
              <w:rPr>
                <w:rFonts w:ascii="仿宋_GB2312" w:hAnsi="仿宋_GB2312" w:eastAsia="仿宋_GB2312" w:cs="仿宋_GB2312"/>
                <w:sz w:val="15"/>
                <w:szCs w:val="15"/>
              </w:rPr>
            </w:pPr>
            <w:r>
              <w:rPr>
                <w:rFonts w:hint="eastAsia" w:ascii="仿宋_GB2312" w:hAnsi="仿宋_GB2312" w:eastAsia="仿宋_GB2312" w:cs="仿宋_GB2312"/>
                <w:sz w:val="15"/>
                <w:szCs w:val="15"/>
              </w:rPr>
              <w:t>3.红嘴开发区安全生产监督管理局完善风险分级管控和隐患排查治理双重预防机制建设，按照“五化”工作法的要求，监督检查企业建立逐级承诺、编制操作手册、隐患排查整改、建账立档等工作，对不能解决的重大隐患要及时上报铁西区安委会办公室备案，确保易燃易爆、有毒有害物质安全管控取得实效，防止发生次生环境风险。</w:t>
            </w:r>
          </w:p>
        </w:tc>
        <w:tc>
          <w:tcPr>
            <w:tcW w:w="6921" w:type="dxa"/>
            <w:vAlign w:val="center"/>
          </w:tcPr>
          <w:p>
            <w:pPr>
              <w:pStyle w:val="2"/>
              <w:ind w:left="0" w:leftChars="0" w:firstLine="0" w:firstLineChars="0"/>
              <w:rPr>
                <w:rFonts w:ascii="仿宋_GB2312" w:hAnsi="仿宋_GB2312" w:eastAsia="仿宋_GB2312" w:cs="仿宋_GB2312"/>
                <w:sz w:val="15"/>
                <w:szCs w:val="15"/>
              </w:rPr>
            </w:pPr>
            <w:r>
              <w:rPr>
                <w:rFonts w:hint="eastAsia" w:ascii="仿宋_GB2312" w:hAnsi="仿宋_GB2312" w:eastAsia="仿宋_GB2312" w:cs="仿宋_GB2312"/>
                <w:sz w:val="15"/>
                <w:szCs w:val="15"/>
              </w:rPr>
              <w:t>1. 红嘴开发区安全生产监督管理局会同省应急管理厅、四平市应急管理局、铁西区应急管理局对区内使用高温高压工艺、易燃易爆、有毒有害物质原料企业开展安全生产隐患排查，加强对易燃易爆、有毒有害物质企业的监督检查工作，通过排查隐患整改，建立长效管控机制，确保不发生次生环境风险。</w:t>
            </w:r>
          </w:p>
          <w:p>
            <w:pPr>
              <w:pStyle w:val="2"/>
              <w:ind w:left="0" w:leftChars="0" w:firstLine="0" w:firstLineChars="0"/>
              <w:rPr>
                <w:rFonts w:ascii="仿宋_GB2312" w:hAnsi="仿宋_GB2312" w:eastAsia="仿宋_GB2312" w:cs="仿宋_GB2312"/>
                <w:sz w:val="15"/>
                <w:szCs w:val="15"/>
              </w:rPr>
            </w:pPr>
            <w:r>
              <w:rPr>
                <w:rFonts w:hint="eastAsia" w:ascii="仿宋_GB2312" w:hAnsi="仿宋_GB2312" w:eastAsia="仿宋_GB2312" w:cs="仿宋_GB2312"/>
                <w:sz w:val="15"/>
                <w:szCs w:val="15"/>
              </w:rPr>
              <w:t>2</w:t>
            </w:r>
            <w:r>
              <w:rPr>
                <w:rFonts w:ascii="仿宋_GB2312" w:hAnsi="仿宋_GB2312" w:eastAsia="仿宋_GB2312" w:cs="仿宋_GB2312"/>
                <w:sz w:val="15"/>
                <w:szCs w:val="15"/>
              </w:rPr>
              <w:t>.</w:t>
            </w:r>
            <w:r>
              <w:rPr>
                <w:rFonts w:hint="eastAsia" w:ascii="仿宋_GB2312" w:hAnsi="仿宋_GB2312" w:eastAsia="仿宋_GB2312" w:cs="仿宋_GB2312"/>
                <w:sz w:val="15"/>
                <w:szCs w:val="15"/>
              </w:rPr>
              <w:t xml:space="preserve">红嘴经济开发区建立了易燃易爆、有毒有害物质企业监管台账。对可能存在的安全隐患易燃易爆、有毒有害物质企业进行重点监管。 </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3</w:t>
            </w:r>
            <w:r>
              <w:rPr>
                <w:rFonts w:ascii="仿宋_GB2312" w:hAnsi="仿宋_GB2312" w:eastAsia="仿宋_GB2312" w:cs="仿宋_GB2312"/>
                <w:sz w:val="15"/>
                <w:szCs w:val="15"/>
              </w:rPr>
              <w:t>.</w:t>
            </w:r>
            <w:r>
              <w:rPr>
                <w:rFonts w:hint="eastAsia" w:ascii="仿宋_GB2312" w:hAnsi="仿宋_GB2312" w:eastAsia="仿宋_GB2312" w:cs="仿宋_GB2312"/>
                <w:sz w:val="15"/>
                <w:szCs w:val="15"/>
              </w:rPr>
              <w:t>红嘴开发区安全生产监督管理局完善风险分级管控和隐患排查治理双重预防机制制度，监督企业建立逐级承诺、编制操作手册、隐患排查整改、建账立档等工作，对不能解决的重大隐患及时上报铁西区安委会办公室备案。</w:t>
            </w:r>
          </w:p>
          <w:p>
            <w:pPr>
              <w:jc w:val="distribute"/>
              <w:rPr>
                <w:rFonts w:ascii="仿宋_GB2312" w:hAnsi="仿宋_GB2312" w:eastAsia="仿宋_GB2312" w:cs="仿宋_GB2312"/>
                <w:sz w:val="15"/>
                <w:szCs w:val="15"/>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jA5MGIwYzNkNzIxNmM0NDRlY2NlOWIwNjY4NzUifQ=="/>
  </w:docVars>
  <w:rsids>
    <w:rsidRoot w:val="388E3E66"/>
    <w:rsid w:val="388E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2022-12-30T09:16:00Z</dcterms:created>
  <dc:creator>少年宫舞蹈艺术培训中心</dc:creator>
  <cp:lastModifiedBy>少年宫舞蹈艺术培训中心</cp:lastModifiedBy>
  <dcterms:modified xsi:type="dcterms:W3CDTF">2022-12-30T09:16:27Z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B8582BC80C2C4ED48B8B71F4E55A5C81</vt:lpwstr>
  </property>
</Properties>
</file>